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2CA85">
      <w:pPr>
        <w:pStyle w:val="5"/>
        <w:numPr>
          <w:ilvl w:val="2"/>
          <w:numId w:val="0"/>
        </w:numPr>
        <w:ind w:left="0" w:firstLine="0"/>
      </w:pPr>
      <w:bookmarkStart w:id="0" w:name="_Toc215565981"/>
      <w:r>
        <w:rPr>
          <w:rFonts w:ascii="Times New Roman" w:hAnsi="Times New Roman" w:eastAsia="宋体" w:cs="Times New Roman"/>
          <w:b/>
          <w:bCs/>
          <w:kern w:val="2"/>
          <w:sz w:val="32"/>
          <w:szCs w:val="32"/>
          <w:lang w:val="en-US" w:eastAsia="zh-CN" w:bidi="ar-SA"/>
        </w:rPr>
        <w:t>1</w:t>
      </w:r>
      <w:r>
        <w:rPr>
          <w:rFonts w:hint="eastAsia" w:cs="Times New Roman"/>
          <w:b/>
          <w:bCs/>
          <w:kern w:val="2"/>
          <w:sz w:val="32"/>
          <w:szCs w:val="32"/>
          <w:lang w:val="en-US" w:eastAsia="zh-CN" w:bidi="ar-SA"/>
        </w:rPr>
        <w:t>.</w:t>
      </w:r>
      <w:r>
        <w:rPr>
          <w:rFonts w:hint="eastAsia"/>
        </w:rPr>
        <w:t>规则库升级服务</w:t>
      </w:r>
      <w:bookmarkEnd w:id="0"/>
      <w:r>
        <w:rPr>
          <w:rFonts w:hint="eastAsia"/>
          <w:lang w:val="en-US" w:eastAsia="zh-CN"/>
        </w:rPr>
        <w:t xml:space="preserve">         </w:t>
      </w:r>
      <w:bookmarkStart w:id="6" w:name="_GoBack"/>
      <w:bookmarkEnd w:id="6"/>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458"/>
        <w:gridCol w:w="4479"/>
        <w:gridCol w:w="1688"/>
      </w:tblGrid>
      <w:tr w14:paraId="2AE4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tcPr>
          <w:p w14:paraId="0F2F4B36">
            <w:pPr>
              <w:adjustRightInd w:val="0"/>
              <w:snapToGrid w:val="0"/>
              <w:jc w:val="center"/>
              <w:rPr>
                <w:rFonts w:hint="eastAsia" w:ascii="宋体" w:hAnsi="宋体" w:cs="宋体"/>
                <w:sz w:val="24"/>
                <w:szCs w:val="24"/>
              </w:rPr>
            </w:pPr>
            <w:r>
              <w:rPr>
                <w:rFonts w:hint="eastAsia" w:ascii="宋体" w:hAnsi="宋体" w:cs="宋体"/>
                <w:sz w:val="24"/>
                <w:szCs w:val="24"/>
              </w:rPr>
              <w:t>序号</w:t>
            </w:r>
          </w:p>
        </w:tc>
        <w:tc>
          <w:tcPr>
            <w:tcW w:w="856" w:type="pct"/>
          </w:tcPr>
          <w:p w14:paraId="246522BF">
            <w:pPr>
              <w:adjustRightInd w:val="0"/>
              <w:snapToGrid w:val="0"/>
              <w:jc w:val="center"/>
              <w:rPr>
                <w:rFonts w:hint="eastAsia" w:ascii="宋体" w:hAnsi="宋体" w:cs="宋体"/>
                <w:sz w:val="24"/>
                <w:szCs w:val="24"/>
              </w:rPr>
            </w:pPr>
            <w:r>
              <w:rPr>
                <w:rFonts w:hint="eastAsia" w:ascii="宋体" w:hAnsi="宋体" w:cs="宋体"/>
                <w:sz w:val="24"/>
                <w:szCs w:val="24"/>
              </w:rPr>
              <w:t>服务要求</w:t>
            </w:r>
          </w:p>
        </w:tc>
        <w:tc>
          <w:tcPr>
            <w:tcW w:w="2629" w:type="pct"/>
          </w:tcPr>
          <w:p w14:paraId="56F2C1D7">
            <w:pPr>
              <w:adjustRightInd w:val="0"/>
              <w:snapToGrid w:val="0"/>
              <w:jc w:val="center"/>
              <w:rPr>
                <w:rFonts w:hint="eastAsia" w:ascii="宋体" w:hAnsi="宋体" w:cs="宋体"/>
                <w:sz w:val="24"/>
                <w:szCs w:val="24"/>
              </w:rPr>
            </w:pPr>
            <w:r>
              <w:rPr>
                <w:rFonts w:hint="eastAsia" w:ascii="宋体" w:hAnsi="宋体" w:cs="宋体"/>
                <w:sz w:val="24"/>
                <w:szCs w:val="24"/>
              </w:rPr>
              <w:t>服务内容</w:t>
            </w:r>
          </w:p>
        </w:tc>
        <w:tc>
          <w:tcPr>
            <w:tcW w:w="990" w:type="pct"/>
          </w:tcPr>
          <w:p w14:paraId="3A0347BF">
            <w:pPr>
              <w:adjustRightInd w:val="0"/>
              <w:snapToGrid w:val="0"/>
              <w:jc w:val="center"/>
              <w:rPr>
                <w:rFonts w:hint="eastAsia" w:ascii="宋体" w:hAnsi="宋体" w:cs="宋体"/>
                <w:sz w:val="24"/>
                <w:szCs w:val="24"/>
              </w:rPr>
            </w:pPr>
            <w:r>
              <w:rPr>
                <w:rFonts w:hint="eastAsia" w:ascii="宋体" w:hAnsi="宋体" w:cs="宋体"/>
                <w:sz w:val="24"/>
                <w:szCs w:val="24"/>
              </w:rPr>
              <w:t>输出文档</w:t>
            </w:r>
          </w:p>
        </w:tc>
      </w:tr>
      <w:tr w14:paraId="4BD5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Align w:val="center"/>
          </w:tcPr>
          <w:p w14:paraId="1195FCB2">
            <w:pPr>
              <w:adjustRightInd w:val="0"/>
              <w:snapToGrid w:val="0"/>
              <w:rPr>
                <w:rFonts w:hint="eastAsia" w:ascii="宋体" w:hAnsi="宋体" w:cs="宋体"/>
                <w:snapToGrid w:val="0"/>
                <w:color w:val="000000"/>
                <w:kern w:val="28"/>
                <w:sz w:val="24"/>
                <w:szCs w:val="24"/>
              </w:rPr>
            </w:pPr>
            <w:r>
              <w:rPr>
                <w:rFonts w:hint="eastAsia" w:ascii="宋体" w:hAnsi="宋体" w:cs="宋体"/>
                <w:snapToGrid w:val="0"/>
                <w:color w:val="000000"/>
                <w:kern w:val="28"/>
                <w:sz w:val="24"/>
                <w:szCs w:val="24"/>
              </w:rPr>
              <w:t>1</w:t>
            </w:r>
          </w:p>
        </w:tc>
        <w:tc>
          <w:tcPr>
            <w:tcW w:w="856" w:type="pct"/>
            <w:vAlign w:val="center"/>
          </w:tcPr>
          <w:p w14:paraId="420BE971">
            <w:pPr>
              <w:adjustRightInd w:val="0"/>
              <w:snapToGrid w:val="0"/>
              <w:rPr>
                <w:rFonts w:hint="eastAsia" w:ascii="宋体" w:hAnsi="宋体" w:cs="宋体"/>
                <w:snapToGrid w:val="0"/>
                <w:color w:val="000000"/>
                <w:kern w:val="28"/>
                <w:sz w:val="24"/>
                <w:szCs w:val="24"/>
              </w:rPr>
            </w:pPr>
            <w:r>
              <w:rPr>
                <w:rFonts w:hint="eastAsia" w:ascii="宋体" w:hAnsi="宋体" w:cs="宋体"/>
                <w:snapToGrid w:val="0"/>
                <w:color w:val="000000"/>
                <w:kern w:val="28"/>
                <w:sz w:val="24"/>
                <w:szCs w:val="24"/>
                <w:lang w:eastAsia="zh-CN"/>
              </w:rPr>
              <w:t>DRGs</w:t>
            </w:r>
            <w:r>
              <w:rPr>
                <w:rFonts w:hint="eastAsia" w:ascii="宋体" w:hAnsi="宋体" w:cs="宋体"/>
                <w:snapToGrid w:val="0"/>
                <w:color w:val="000000"/>
                <w:kern w:val="28"/>
                <w:sz w:val="24"/>
                <w:szCs w:val="24"/>
              </w:rPr>
              <w:t>分组</w:t>
            </w:r>
            <w:r>
              <w:rPr>
                <w:rFonts w:ascii="宋体" w:hAnsi="宋体" w:cs="宋体"/>
                <w:snapToGrid w:val="0"/>
                <w:color w:val="000000"/>
                <w:kern w:val="28"/>
                <w:sz w:val="24"/>
                <w:szCs w:val="24"/>
              </w:rPr>
              <w:t>优化</w:t>
            </w:r>
          </w:p>
        </w:tc>
        <w:tc>
          <w:tcPr>
            <w:tcW w:w="2629" w:type="pct"/>
            <w:vAlign w:val="center"/>
          </w:tcPr>
          <w:p w14:paraId="5E077767">
            <w:pPr>
              <w:adjustRightInd w:val="0"/>
              <w:snapToGrid w:val="0"/>
              <w:jc w:val="left"/>
              <w:rPr>
                <w:rFonts w:hint="eastAsia" w:ascii="宋体" w:hAnsi="宋体" w:cs="宋体"/>
                <w:snapToGrid w:val="0"/>
                <w:color w:val="000000"/>
                <w:kern w:val="28"/>
                <w:sz w:val="24"/>
                <w:szCs w:val="24"/>
              </w:rPr>
            </w:pPr>
            <w:r>
              <w:rPr>
                <w:rFonts w:ascii="宋体" w:hAnsi="宋体" w:cs="宋体"/>
                <w:kern w:val="0"/>
                <w:sz w:val="24"/>
                <w:szCs w:val="24"/>
                <w:lang w:bidi="ar"/>
              </w:rPr>
              <w:t>1、遵循《国家医疗保障局印发疾病诊断相关分组（</w:t>
            </w:r>
            <w:r>
              <w:rPr>
                <w:rFonts w:hint="eastAsia" w:ascii="宋体" w:hAnsi="宋体" w:cs="宋体"/>
                <w:kern w:val="0"/>
                <w:sz w:val="24"/>
                <w:szCs w:val="24"/>
                <w:lang w:eastAsia="zh-CN" w:bidi="ar"/>
              </w:rPr>
              <w:t>DRGs</w:t>
            </w:r>
            <w:r>
              <w:rPr>
                <w:rFonts w:ascii="宋体" w:hAnsi="宋体" w:cs="宋体"/>
                <w:kern w:val="0"/>
                <w:sz w:val="24"/>
                <w:szCs w:val="24"/>
                <w:lang w:bidi="ar"/>
              </w:rPr>
              <w:t>）付费国家试点技术规范和和分组方案》和</w:t>
            </w:r>
            <w:r>
              <w:rPr>
                <w:rFonts w:hint="eastAsia" w:ascii="宋体" w:hAnsi="宋体" w:cs="宋体"/>
                <w:kern w:val="0"/>
                <w:sz w:val="24"/>
                <w:szCs w:val="24"/>
                <w:lang w:val="en-US" w:eastAsia="zh-CN" w:bidi="ar"/>
              </w:rPr>
              <w:t>四川省内江市</w:t>
            </w:r>
            <w:r>
              <w:rPr>
                <w:rFonts w:ascii="宋体" w:hAnsi="宋体" w:cs="宋体"/>
                <w:kern w:val="0"/>
                <w:sz w:val="24"/>
                <w:szCs w:val="24"/>
                <w:lang w:bidi="ar"/>
              </w:rPr>
              <w:t>下发的地区分组方案 2、</w:t>
            </w:r>
            <w:r>
              <w:rPr>
                <w:rFonts w:hint="eastAsia" w:ascii="宋体" w:hAnsi="宋体" w:cs="宋体"/>
                <w:kern w:val="0"/>
                <w:sz w:val="24"/>
                <w:szCs w:val="24"/>
                <w:lang w:bidi="ar"/>
              </w:rPr>
              <w:t>系统</w:t>
            </w:r>
            <w:r>
              <w:rPr>
                <w:rFonts w:ascii="宋体" w:hAnsi="宋体" w:cs="宋体"/>
                <w:kern w:val="0"/>
                <w:sz w:val="24"/>
                <w:szCs w:val="24"/>
                <w:lang w:bidi="ar"/>
              </w:rPr>
              <w:t>内置分组器版本遵循国家CHS-</w:t>
            </w:r>
            <w:r>
              <w:rPr>
                <w:rFonts w:hint="eastAsia" w:ascii="宋体" w:hAnsi="宋体" w:cs="宋体"/>
                <w:kern w:val="0"/>
                <w:sz w:val="24"/>
                <w:szCs w:val="24"/>
                <w:lang w:eastAsia="zh-CN" w:bidi="ar"/>
              </w:rPr>
              <w:t>DRGs</w:t>
            </w:r>
            <w:r>
              <w:rPr>
                <w:rFonts w:ascii="宋体" w:hAnsi="宋体" w:cs="宋体"/>
                <w:kern w:val="0"/>
                <w:sz w:val="24"/>
                <w:szCs w:val="24"/>
                <w:lang w:bidi="ar"/>
              </w:rPr>
              <w:t>分组器（含CHS-</w:t>
            </w:r>
            <w:r>
              <w:rPr>
                <w:rFonts w:hint="eastAsia" w:ascii="宋体" w:hAnsi="宋体" w:cs="宋体"/>
                <w:kern w:val="0"/>
                <w:sz w:val="24"/>
                <w:szCs w:val="24"/>
                <w:lang w:eastAsia="zh-CN" w:bidi="ar"/>
              </w:rPr>
              <w:t>DRGs</w:t>
            </w:r>
            <w:r>
              <w:rPr>
                <w:rFonts w:ascii="宋体" w:hAnsi="宋体" w:cs="宋体"/>
                <w:kern w:val="0"/>
                <w:sz w:val="24"/>
                <w:szCs w:val="24"/>
                <w:lang w:bidi="ar"/>
              </w:rPr>
              <w:t>1.0、CHS-</w:t>
            </w:r>
            <w:r>
              <w:rPr>
                <w:rFonts w:hint="eastAsia" w:ascii="宋体" w:hAnsi="宋体" w:cs="宋体"/>
                <w:kern w:val="0"/>
                <w:sz w:val="24"/>
                <w:szCs w:val="24"/>
                <w:lang w:eastAsia="zh-CN" w:bidi="ar"/>
              </w:rPr>
              <w:t>DRGs</w:t>
            </w:r>
            <w:r>
              <w:rPr>
                <w:rFonts w:ascii="宋体" w:hAnsi="宋体" w:cs="宋体"/>
                <w:kern w:val="0"/>
                <w:sz w:val="24"/>
                <w:szCs w:val="24"/>
                <w:lang w:bidi="ar"/>
              </w:rPr>
              <w:t>1.1、CHS-</w:t>
            </w:r>
            <w:r>
              <w:rPr>
                <w:rFonts w:hint="eastAsia" w:ascii="宋体" w:hAnsi="宋体" w:cs="宋体"/>
                <w:kern w:val="0"/>
                <w:sz w:val="24"/>
                <w:szCs w:val="24"/>
                <w:lang w:eastAsia="zh-CN" w:bidi="ar"/>
              </w:rPr>
              <w:t>DRGs</w:t>
            </w:r>
            <w:r>
              <w:rPr>
                <w:rFonts w:ascii="宋体" w:hAnsi="宋体" w:cs="宋体"/>
                <w:kern w:val="0"/>
                <w:sz w:val="24"/>
                <w:szCs w:val="24"/>
                <w:lang w:bidi="ar"/>
              </w:rPr>
              <w:t>2.0版本等），通过分组优化和本地化付费政策动态调整，保障</w:t>
            </w:r>
            <w:r>
              <w:rPr>
                <w:rFonts w:hint="eastAsia" w:ascii="宋体" w:hAnsi="宋体" w:cs="宋体"/>
                <w:kern w:val="0"/>
                <w:sz w:val="24"/>
                <w:szCs w:val="24"/>
                <w:lang w:eastAsia="zh-CN" w:bidi="ar"/>
              </w:rPr>
              <w:t>DRGs</w:t>
            </w:r>
            <w:r>
              <w:rPr>
                <w:rFonts w:ascii="宋体" w:hAnsi="宋体" w:cs="宋体"/>
                <w:kern w:val="0"/>
                <w:sz w:val="24"/>
                <w:szCs w:val="24"/>
                <w:lang w:bidi="ar"/>
              </w:rPr>
              <w:t xml:space="preserve">结算预测准确 </w:t>
            </w:r>
            <w:r>
              <w:rPr>
                <w:rFonts w:hint="eastAsia" w:ascii="宋体" w:hAnsi="宋体" w:cs="宋体"/>
                <w:kern w:val="0"/>
                <w:sz w:val="24"/>
                <w:szCs w:val="24"/>
                <w:lang w:eastAsia="zh-CN" w:bidi="ar"/>
              </w:rPr>
              <w:t>。</w:t>
            </w:r>
            <w:r>
              <w:rPr>
                <w:rFonts w:ascii="宋体" w:hAnsi="宋体" w:cs="宋体"/>
                <w:kern w:val="0"/>
                <w:sz w:val="24"/>
                <w:szCs w:val="24"/>
                <w:lang w:bidi="ar"/>
              </w:rPr>
              <w:t>（1）结合临床医学知识和统计学原理，构建大数据算法训练规则并反推分组逻辑和分组规则 （2）基于自研自适应算法，利用月度结算反馈单识别规则变化并达到规则本地化适配，适配后一致率达95%</w:t>
            </w:r>
            <w:r>
              <w:rPr>
                <w:rFonts w:hint="eastAsia" w:ascii="宋体" w:hAnsi="宋体" w:cs="宋体"/>
                <w:kern w:val="0"/>
                <w:sz w:val="24"/>
                <w:szCs w:val="24"/>
                <w:lang w:val="en-US" w:eastAsia="zh-CN" w:bidi="ar"/>
              </w:rPr>
              <w:t>及以上</w:t>
            </w:r>
            <w:r>
              <w:rPr>
                <w:rFonts w:ascii="宋体" w:hAnsi="宋体" w:cs="宋体"/>
                <w:kern w:val="0"/>
                <w:sz w:val="24"/>
                <w:szCs w:val="24"/>
                <w:lang w:bidi="ar"/>
              </w:rPr>
              <w:t>。</w:t>
            </w:r>
          </w:p>
        </w:tc>
        <w:tc>
          <w:tcPr>
            <w:tcW w:w="990" w:type="pct"/>
            <w:vAlign w:val="center"/>
          </w:tcPr>
          <w:p w14:paraId="5F7CA513">
            <w:pPr>
              <w:adjustRightInd w:val="0"/>
              <w:snapToGrid w:val="0"/>
              <w:rPr>
                <w:rFonts w:hint="eastAsia" w:ascii="宋体" w:hAnsi="宋体" w:cs="宋体"/>
                <w:snapToGrid w:val="0"/>
                <w:color w:val="000000"/>
                <w:kern w:val="28"/>
                <w:sz w:val="24"/>
                <w:szCs w:val="24"/>
              </w:rPr>
            </w:pPr>
          </w:p>
        </w:tc>
      </w:tr>
      <w:tr w14:paraId="5B4D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vAlign w:val="center"/>
          </w:tcPr>
          <w:p w14:paraId="4EAE459F">
            <w:pPr>
              <w:adjustRightInd w:val="0"/>
              <w:snapToGrid w:val="0"/>
              <w:rPr>
                <w:rFonts w:hint="eastAsia" w:ascii="宋体" w:hAnsi="宋体" w:cs="宋体"/>
                <w:snapToGrid w:val="0"/>
                <w:color w:val="000000"/>
                <w:kern w:val="28"/>
                <w:sz w:val="24"/>
                <w:szCs w:val="24"/>
              </w:rPr>
            </w:pPr>
            <w:r>
              <w:rPr>
                <w:rFonts w:hint="eastAsia" w:ascii="宋体" w:hAnsi="宋体" w:cs="宋体"/>
                <w:snapToGrid w:val="0"/>
                <w:color w:val="000000"/>
                <w:kern w:val="28"/>
                <w:sz w:val="24"/>
                <w:szCs w:val="24"/>
              </w:rPr>
              <w:t>2</w:t>
            </w:r>
          </w:p>
        </w:tc>
        <w:tc>
          <w:tcPr>
            <w:tcW w:w="856" w:type="pct"/>
            <w:vAlign w:val="center"/>
          </w:tcPr>
          <w:p w14:paraId="0EB1C1D3">
            <w:pPr>
              <w:adjustRightInd w:val="0"/>
              <w:snapToGrid w:val="0"/>
              <w:rPr>
                <w:rFonts w:hint="eastAsia" w:ascii="宋体" w:hAnsi="宋体" w:cs="宋体"/>
                <w:kern w:val="0"/>
                <w:sz w:val="24"/>
                <w:szCs w:val="24"/>
                <w:lang w:bidi="ar"/>
              </w:rPr>
            </w:pPr>
            <w:r>
              <w:rPr>
                <w:rFonts w:hint="eastAsia" w:ascii="宋体" w:hAnsi="宋体" w:cs="宋体"/>
                <w:kern w:val="0"/>
                <w:sz w:val="24"/>
                <w:szCs w:val="24"/>
                <w:lang w:bidi="ar"/>
              </w:rPr>
              <w:t>医保结算清单质控规则更新升级服务</w:t>
            </w:r>
          </w:p>
        </w:tc>
        <w:tc>
          <w:tcPr>
            <w:tcW w:w="2629" w:type="pct"/>
            <w:vAlign w:val="center"/>
          </w:tcPr>
          <w:p w14:paraId="30BB645C">
            <w:pPr>
              <w:numPr>
                <w:ilvl w:val="0"/>
                <w:numId w:val="3"/>
              </w:numPr>
              <w:jc w:val="left"/>
              <w:rPr>
                <w:rFonts w:hint="eastAsia" w:ascii="宋体" w:hAnsi="宋体" w:cs="宋体"/>
                <w:kern w:val="0"/>
                <w:sz w:val="24"/>
                <w:szCs w:val="24"/>
                <w:lang w:bidi="ar"/>
              </w:rPr>
            </w:pPr>
            <w:r>
              <w:rPr>
                <w:rFonts w:ascii="宋体" w:hAnsi="宋体" w:cs="宋体"/>
                <w:kern w:val="0"/>
                <w:sz w:val="24"/>
                <w:szCs w:val="24"/>
                <w:lang w:bidi="ar"/>
              </w:rPr>
              <w:t>遵循国家医</w:t>
            </w:r>
            <w:r>
              <w:rPr>
                <w:rFonts w:hint="eastAsia" w:ascii="宋体" w:hAnsi="宋体" w:cs="宋体"/>
                <w:kern w:val="0"/>
                <w:sz w:val="24"/>
                <w:szCs w:val="24"/>
                <w:lang w:eastAsia="zh-CN" w:bidi="ar"/>
              </w:rPr>
              <w:t>保局</w:t>
            </w:r>
            <w:r>
              <w:rPr>
                <w:rFonts w:ascii="宋体" w:hAnsi="宋体" w:cs="宋体"/>
                <w:kern w:val="0"/>
                <w:sz w:val="24"/>
                <w:szCs w:val="24"/>
                <w:lang w:bidi="ar"/>
              </w:rPr>
              <w:t>下发34号文件《医疗保障基金结算清单》《医疗保障基金结算清单填写规范》以及医保局下发反馈的规则要求、政策、指南等</w:t>
            </w:r>
            <w:r>
              <w:rPr>
                <w:rFonts w:hint="eastAsia" w:ascii="宋体" w:hAnsi="宋体" w:cs="宋体"/>
                <w:kern w:val="0"/>
                <w:sz w:val="24"/>
                <w:szCs w:val="24"/>
                <w:lang w:eastAsia="zh-CN" w:bidi="ar"/>
              </w:rPr>
              <w:t>。</w:t>
            </w:r>
            <w:r>
              <w:rPr>
                <w:rFonts w:ascii="宋体" w:hAnsi="宋体" w:cs="宋体"/>
                <w:kern w:val="0"/>
                <w:sz w:val="24"/>
                <w:szCs w:val="24"/>
                <w:lang w:bidi="ar"/>
              </w:rPr>
              <w:br w:type="textWrapping"/>
            </w:r>
            <w:r>
              <w:rPr>
                <w:rFonts w:ascii="宋体" w:hAnsi="宋体" w:cs="宋体"/>
                <w:kern w:val="0"/>
                <w:sz w:val="24"/>
                <w:szCs w:val="24"/>
                <w:lang w:bidi="ar"/>
              </w:rPr>
              <w:t>2. 根据</w:t>
            </w:r>
            <w:r>
              <w:rPr>
                <w:rFonts w:hint="eastAsia" w:ascii="宋体" w:hAnsi="宋体" w:cs="宋体"/>
                <w:kern w:val="0"/>
                <w:sz w:val="24"/>
                <w:szCs w:val="24"/>
                <w:lang w:val="en-US" w:eastAsia="zh-CN" w:bidi="ar"/>
              </w:rPr>
              <w:t>医保局</w:t>
            </w:r>
            <w:r>
              <w:rPr>
                <w:rFonts w:ascii="宋体" w:hAnsi="宋体" w:cs="宋体"/>
                <w:kern w:val="0"/>
                <w:sz w:val="24"/>
                <w:szCs w:val="24"/>
                <w:lang w:bidi="ar"/>
              </w:rPr>
              <w:t xml:space="preserve">结算政策的更新，更新清单费用相关规则 </w:t>
            </w:r>
            <w:r>
              <w:rPr>
                <w:rFonts w:hint="eastAsia" w:ascii="宋体" w:hAnsi="宋体" w:cs="宋体"/>
                <w:kern w:val="0"/>
                <w:sz w:val="24"/>
                <w:szCs w:val="24"/>
                <w:lang w:eastAsia="zh-CN" w:bidi="ar"/>
              </w:rPr>
              <w:t>。</w:t>
            </w:r>
            <w:r>
              <w:rPr>
                <w:rFonts w:ascii="宋体" w:hAnsi="宋体" w:cs="宋体"/>
                <w:kern w:val="0"/>
                <w:sz w:val="24"/>
                <w:szCs w:val="24"/>
                <w:lang w:bidi="ar"/>
              </w:rPr>
              <w:br w:type="textWrapping"/>
            </w:r>
            <w:r>
              <w:rPr>
                <w:rFonts w:ascii="宋体" w:hAnsi="宋体" w:cs="宋体"/>
                <w:kern w:val="0"/>
                <w:sz w:val="24"/>
                <w:szCs w:val="24"/>
                <w:lang w:bidi="ar"/>
              </w:rPr>
              <w:t xml:space="preserve">3. 一年更新至少3个版本，范围包括医保局有新增政策或者政策变更，医院使用情况收集等 </w:t>
            </w:r>
          </w:p>
          <w:p w14:paraId="5465860E">
            <w:pPr>
              <w:adjustRightInd w:val="0"/>
              <w:snapToGrid w:val="0"/>
              <w:jc w:val="left"/>
              <w:rPr>
                <w:rFonts w:hint="eastAsia" w:ascii="宋体" w:hAnsi="宋体" w:cs="宋体"/>
                <w:kern w:val="0"/>
                <w:sz w:val="24"/>
                <w:szCs w:val="24"/>
                <w:lang w:bidi="ar"/>
              </w:rPr>
            </w:pPr>
            <w:r>
              <w:rPr>
                <w:rFonts w:ascii="宋体" w:hAnsi="宋体" w:cs="宋体"/>
                <w:kern w:val="0"/>
                <w:sz w:val="24"/>
                <w:szCs w:val="24"/>
                <w:lang w:bidi="ar"/>
              </w:rPr>
              <w:t>按照医保局规则类目进行具体迭代更新</w:t>
            </w:r>
          </w:p>
        </w:tc>
        <w:tc>
          <w:tcPr>
            <w:tcW w:w="990" w:type="pct"/>
            <w:vAlign w:val="center"/>
          </w:tcPr>
          <w:p w14:paraId="55D4AF16">
            <w:pPr>
              <w:adjustRightInd w:val="0"/>
              <w:snapToGrid w:val="0"/>
              <w:rPr>
                <w:rFonts w:hint="eastAsia" w:ascii="宋体" w:hAnsi="宋体" w:cs="宋体"/>
                <w:kern w:val="0"/>
                <w:sz w:val="24"/>
                <w:szCs w:val="24"/>
                <w:lang w:bidi="ar"/>
              </w:rPr>
            </w:pPr>
            <w:r>
              <w:rPr>
                <w:rFonts w:hint="eastAsia" w:ascii="宋体" w:hAnsi="宋体" w:cs="宋体"/>
                <w:kern w:val="0"/>
                <w:sz w:val="24"/>
                <w:szCs w:val="24"/>
                <w:lang w:bidi="ar"/>
              </w:rPr>
              <w:t>《规则升级记录》</w:t>
            </w:r>
          </w:p>
        </w:tc>
      </w:tr>
      <w:tr w14:paraId="3C26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tcPr>
          <w:p w14:paraId="32D4CD62">
            <w:pPr>
              <w:adjustRightInd w:val="0"/>
              <w:snapToGrid w:val="0"/>
              <w:rPr>
                <w:rFonts w:hint="eastAsia" w:ascii="宋体" w:hAnsi="宋体" w:cs="宋体"/>
                <w:sz w:val="24"/>
                <w:szCs w:val="24"/>
              </w:rPr>
            </w:pPr>
            <w:r>
              <w:rPr>
                <w:rFonts w:hint="eastAsia" w:ascii="宋体" w:hAnsi="宋体" w:cs="宋体"/>
                <w:sz w:val="24"/>
                <w:szCs w:val="24"/>
              </w:rPr>
              <w:t>3</w:t>
            </w:r>
          </w:p>
        </w:tc>
        <w:tc>
          <w:tcPr>
            <w:tcW w:w="856" w:type="pct"/>
          </w:tcPr>
          <w:p w14:paraId="28D7F122">
            <w:pPr>
              <w:adjustRightInd w:val="0"/>
              <w:snapToGrid w:val="0"/>
              <w:rPr>
                <w:rFonts w:hint="eastAsia" w:ascii="宋体" w:hAnsi="宋体" w:cs="宋体"/>
                <w:sz w:val="24"/>
                <w:szCs w:val="24"/>
              </w:rPr>
            </w:pPr>
            <w:r>
              <w:rPr>
                <w:rFonts w:hint="eastAsia" w:ascii="宋体" w:hAnsi="宋体" w:cs="宋体"/>
                <w:sz w:val="24"/>
                <w:szCs w:val="24"/>
                <w:lang w:eastAsia="zh-CN"/>
              </w:rPr>
              <w:t>DRGs</w:t>
            </w:r>
            <w:r>
              <w:rPr>
                <w:rFonts w:ascii="宋体" w:hAnsi="宋体" w:cs="宋体"/>
                <w:sz w:val="24"/>
                <w:szCs w:val="24"/>
              </w:rPr>
              <w:t>系统升级服务</w:t>
            </w:r>
          </w:p>
        </w:tc>
        <w:tc>
          <w:tcPr>
            <w:tcW w:w="2629" w:type="pct"/>
          </w:tcPr>
          <w:p w14:paraId="7F4A7898">
            <w:pPr>
              <w:widowControl w:val="0"/>
              <w:numPr>
                <w:ilvl w:val="0"/>
                <w:numId w:val="4"/>
              </w:numPr>
              <w:adjustRightInd w:val="0"/>
              <w:snapToGrid w:val="0"/>
              <w:jc w:val="left"/>
              <w:rPr>
                <w:rFonts w:hint="eastAsia" w:ascii="宋体" w:hAnsi="宋体" w:cs="宋体"/>
                <w:sz w:val="24"/>
                <w:szCs w:val="24"/>
              </w:rPr>
            </w:pPr>
            <w:r>
              <w:rPr>
                <w:rFonts w:hint="eastAsia" w:ascii="宋体" w:hAnsi="宋体" w:cs="宋体"/>
                <w:sz w:val="24"/>
                <w:szCs w:val="24"/>
                <w:lang w:bidi="ar"/>
              </w:rPr>
              <w:t>药占比逻辑调整，支持根据地方政</w:t>
            </w:r>
          </w:p>
          <w:p w14:paraId="670157DA">
            <w:pPr>
              <w:adjustRightInd w:val="0"/>
              <w:snapToGrid w:val="0"/>
              <w:jc w:val="left"/>
              <w:rPr>
                <w:rFonts w:hint="eastAsia" w:ascii="宋体" w:hAnsi="宋体" w:cs="宋体"/>
                <w:sz w:val="24"/>
                <w:szCs w:val="24"/>
                <w:lang w:bidi="ar"/>
              </w:rPr>
            </w:pPr>
            <w:r>
              <w:rPr>
                <w:rFonts w:ascii="宋体" w:hAnsi="宋体" w:cs="宋体"/>
                <w:sz w:val="24"/>
                <w:szCs w:val="24"/>
                <w:lang w:bidi="ar"/>
              </w:rPr>
              <w:t>配置</w:t>
            </w:r>
            <w:r>
              <w:rPr>
                <w:rFonts w:hint="eastAsia" w:ascii="宋体" w:hAnsi="宋体" w:cs="宋体"/>
                <w:sz w:val="24"/>
                <w:szCs w:val="24"/>
                <w:lang w:bidi="ar"/>
              </w:rPr>
              <w:t>是否包含中药饮片</w:t>
            </w:r>
            <w:r>
              <w:rPr>
                <w:rFonts w:ascii="宋体" w:hAnsi="宋体" w:cs="宋体"/>
                <w:sz w:val="24"/>
                <w:szCs w:val="24"/>
                <w:lang w:bidi="ar"/>
              </w:rPr>
              <w:t>；</w:t>
            </w:r>
          </w:p>
          <w:p w14:paraId="3994311E">
            <w:pPr>
              <w:widowControl w:val="0"/>
              <w:numPr>
                <w:ilvl w:val="0"/>
                <w:numId w:val="4"/>
              </w:numPr>
              <w:adjustRightInd w:val="0"/>
              <w:snapToGrid w:val="0"/>
              <w:jc w:val="left"/>
              <w:rPr>
                <w:rFonts w:hint="eastAsia" w:ascii="宋体" w:hAnsi="宋体" w:cs="宋体"/>
                <w:sz w:val="24"/>
                <w:szCs w:val="24"/>
              </w:rPr>
            </w:pPr>
            <w:r>
              <w:rPr>
                <w:rFonts w:hint="eastAsia" w:ascii="宋体" w:hAnsi="宋体" w:cs="宋体"/>
                <w:sz w:val="24"/>
                <w:szCs w:val="24"/>
                <w:lang w:bidi="ar"/>
              </w:rPr>
              <w:t>病组数改为可配置是否剔除</w:t>
            </w:r>
            <w:r>
              <w:rPr>
                <w:rFonts w:ascii="宋体" w:hAnsi="宋体"/>
                <w:sz w:val="24"/>
                <w:szCs w:val="24"/>
                <w:lang w:bidi="ar"/>
              </w:rPr>
              <w:t>QY</w:t>
            </w:r>
            <w:r>
              <w:rPr>
                <w:rFonts w:hint="eastAsia" w:ascii="宋体" w:hAnsi="宋体" w:cs="宋体"/>
                <w:sz w:val="24"/>
                <w:szCs w:val="24"/>
                <w:lang w:bidi="ar"/>
              </w:rPr>
              <w:t>组</w:t>
            </w:r>
            <w:r>
              <w:rPr>
                <w:rFonts w:ascii="宋体" w:hAnsi="宋体" w:cs="宋体"/>
                <w:sz w:val="24"/>
                <w:szCs w:val="24"/>
                <w:lang w:bidi="ar"/>
              </w:rPr>
              <w:t>、</w:t>
            </w:r>
            <w:r>
              <w:rPr>
                <w:rFonts w:hint="eastAsia" w:ascii="宋体" w:hAnsi="宋体" w:cs="宋体"/>
                <w:sz w:val="24"/>
                <w:szCs w:val="24"/>
                <w:lang w:bidi="ar"/>
              </w:rPr>
              <w:t>新增组</w:t>
            </w:r>
            <w:r>
              <w:rPr>
                <w:rFonts w:ascii="宋体" w:hAnsi="宋体" w:cs="宋体"/>
                <w:sz w:val="24"/>
                <w:szCs w:val="24"/>
                <w:lang w:bidi="ar"/>
              </w:rPr>
              <w:t>；</w:t>
            </w:r>
          </w:p>
          <w:p w14:paraId="052D2D76">
            <w:pPr>
              <w:widowControl w:val="0"/>
              <w:numPr>
                <w:ilvl w:val="0"/>
                <w:numId w:val="4"/>
              </w:numPr>
              <w:adjustRightInd w:val="0"/>
              <w:snapToGrid w:val="0"/>
              <w:jc w:val="left"/>
              <w:rPr>
                <w:rFonts w:hint="eastAsia" w:ascii="宋体" w:hAnsi="宋体" w:cs="宋体"/>
                <w:sz w:val="24"/>
                <w:szCs w:val="24"/>
              </w:rPr>
            </w:pPr>
            <w:r>
              <w:rPr>
                <w:rFonts w:hint="eastAsia" w:ascii="宋体" w:hAnsi="宋体" w:cs="宋体"/>
                <w:sz w:val="24"/>
                <w:szCs w:val="24"/>
                <w:lang w:bidi="ar"/>
              </w:rPr>
              <w:t>新增结付率指标；</w:t>
            </w:r>
          </w:p>
          <w:p w14:paraId="3135A803">
            <w:pPr>
              <w:widowControl w:val="0"/>
              <w:numPr>
                <w:ilvl w:val="0"/>
                <w:numId w:val="4"/>
              </w:numPr>
              <w:adjustRightInd w:val="0"/>
              <w:snapToGrid w:val="0"/>
              <w:jc w:val="left"/>
              <w:rPr>
                <w:rFonts w:hint="eastAsia" w:ascii="宋体" w:hAnsi="宋体" w:cs="宋体"/>
                <w:sz w:val="24"/>
                <w:szCs w:val="24"/>
              </w:rPr>
            </w:pPr>
            <w:r>
              <w:rPr>
                <w:rFonts w:hint="eastAsia" w:ascii="宋体" w:hAnsi="宋体" w:cs="宋体"/>
                <w:sz w:val="24"/>
                <w:szCs w:val="24"/>
                <w:lang w:bidi="ar"/>
              </w:rPr>
              <w:t>病例数据预测时根据患者所属统筹区，调用不同分组器、维表、政策包进行测算；</w:t>
            </w:r>
          </w:p>
          <w:p w14:paraId="727B5201">
            <w:pPr>
              <w:widowControl w:val="0"/>
              <w:numPr>
                <w:ilvl w:val="0"/>
                <w:numId w:val="4"/>
              </w:numPr>
              <w:adjustRightInd w:val="0"/>
              <w:snapToGrid w:val="0"/>
              <w:jc w:val="left"/>
              <w:rPr>
                <w:rFonts w:hint="eastAsia" w:ascii="宋体" w:hAnsi="宋体" w:cs="宋体"/>
                <w:sz w:val="24"/>
                <w:szCs w:val="24"/>
              </w:rPr>
            </w:pPr>
            <w:r>
              <w:rPr>
                <w:rFonts w:hint="eastAsia" w:ascii="宋体" w:hAnsi="宋体" w:cs="宋体"/>
                <w:sz w:val="24"/>
                <w:szCs w:val="24"/>
                <w:lang w:bidi="ar"/>
              </w:rPr>
              <w:t>增加病组数计算口径配置；</w:t>
            </w:r>
          </w:p>
          <w:p w14:paraId="0005E52E">
            <w:pPr>
              <w:widowControl w:val="0"/>
              <w:numPr>
                <w:ilvl w:val="0"/>
                <w:numId w:val="4"/>
              </w:numPr>
              <w:adjustRightInd w:val="0"/>
              <w:snapToGrid w:val="0"/>
              <w:jc w:val="left"/>
              <w:rPr>
                <w:rFonts w:hint="eastAsia" w:ascii="宋体" w:hAnsi="宋体" w:cs="宋体"/>
                <w:sz w:val="24"/>
                <w:szCs w:val="24"/>
              </w:rPr>
            </w:pPr>
            <w:r>
              <w:rPr>
                <w:rFonts w:hint="eastAsia" w:ascii="宋体" w:hAnsi="宋体" w:cs="宋体"/>
                <w:sz w:val="24"/>
                <w:szCs w:val="24"/>
                <w:lang w:bidi="ar"/>
              </w:rPr>
              <w:t>给予临床、管理科室更丰富的分组建议，方便使用者更直观查看单病例结余；</w:t>
            </w:r>
          </w:p>
          <w:p w14:paraId="7D35D014">
            <w:pPr>
              <w:adjustRightInd w:val="0"/>
              <w:snapToGrid w:val="0"/>
              <w:jc w:val="left"/>
              <w:rPr>
                <w:rFonts w:hint="eastAsia" w:ascii="宋体" w:hAnsi="宋体" w:cs="宋体"/>
                <w:sz w:val="24"/>
                <w:szCs w:val="24"/>
                <w:lang w:bidi="ar"/>
              </w:rPr>
            </w:pPr>
            <w:r>
              <w:rPr>
                <w:rFonts w:hint="eastAsia" w:ascii="宋体" w:hAnsi="宋体" w:cs="宋体"/>
                <w:sz w:val="24"/>
                <w:szCs w:val="24"/>
                <w:lang w:bidi="ar"/>
              </w:rPr>
              <w:t>当分组器</w:t>
            </w:r>
            <w:r>
              <w:rPr>
                <w:rFonts w:ascii="宋体" w:hAnsi="宋体"/>
                <w:sz w:val="24"/>
                <w:szCs w:val="24"/>
                <w:lang w:bidi="ar"/>
              </w:rPr>
              <w:t>/</w:t>
            </w:r>
            <w:r>
              <w:rPr>
                <w:rFonts w:hint="eastAsia" w:ascii="宋体" w:hAnsi="宋体" w:cs="宋体"/>
                <w:sz w:val="24"/>
                <w:szCs w:val="24"/>
                <w:lang w:bidi="ar"/>
              </w:rPr>
              <w:t>维表</w:t>
            </w:r>
            <w:r>
              <w:rPr>
                <w:rFonts w:ascii="宋体" w:hAnsi="宋体"/>
                <w:sz w:val="24"/>
                <w:szCs w:val="24"/>
                <w:lang w:bidi="ar"/>
              </w:rPr>
              <w:t>/</w:t>
            </w:r>
            <w:r>
              <w:rPr>
                <w:rFonts w:hint="eastAsia" w:ascii="宋体" w:hAnsi="宋体" w:cs="宋体"/>
                <w:sz w:val="24"/>
                <w:szCs w:val="24"/>
                <w:lang w:bidi="ar"/>
              </w:rPr>
              <w:t>政策有大版本迭代时，通过病组对比查询迭代前后的数据变化；</w:t>
            </w:r>
          </w:p>
          <w:p w14:paraId="147C7C37">
            <w:pPr>
              <w:widowControl w:val="0"/>
              <w:numPr>
                <w:ilvl w:val="0"/>
                <w:numId w:val="4"/>
              </w:numPr>
              <w:adjustRightInd w:val="0"/>
              <w:snapToGrid w:val="0"/>
              <w:jc w:val="left"/>
              <w:rPr>
                <w:rFonts w:hint="eastAsia" w:ascii="宋体" w:hAnsi="宋体" w:cs="宋体"/>
                <w:sz w:val="24"/>
                <w:szCs w:val="24"/>
                <w:lang w:bidi="ar"/>
              </w:rPr>
            </w:pPr>
            <w:r>
              <w:rPr>
                <w:rFonts w:ascii="宋体" w:hAnsi="宋体" w:cs="宋体"/>
                <w:sz w:val="24"/>
                <w:szCs w:val="24"/>
                <w:lang w:bidi="ar"/>
              </w:rPr>
              <w:t>病例详情页中，支持根据医院的管理需求，自定义配置所要展示的指标及顺序；</w:t>
            </w:r>
          </w:p>
          <w:p w14:paraId="06B60F71">
            <w:pPr>
              <w:widowControl w:val="0"/>
              <w:numPr>
                <w:ilvl w:val="0"/>
                <w:numId w:val="4"/>
              </w:numPr>
              <w:adjustRightInd w:val="0"/>
              <w:snapToGrid w:val="0"/>
              <w:jc w:val="left"/>
              <w:rPr>
                <w:rFonts w:hint="eastAsia" w:ascii="宋体" w:hAnsi="宋体" w:cs="宋体"/>
                <w:sz w:val="24"/>
                <w:szCs w:val="24"/>
              </w:rPr>
            </w:pPr>
            <w:r>
              <w:rPr>
                <w:rFonts w:ascii="宋体" w:hAnsi="宋体" w:cs="宋体"/>
                <w:sz w:val="24"/>
                <w:szCs w:val="24"/>
                <w:lang w:bidi="ar"/>
              </w:rPr>
              <w:t>新增</w:t>
            </w:r>
            <w:r>
              <w:rPr>
                <w:rFonts w:hint="eastAsia" w:ascii="宋体" w:hAnsi="宋体" w:cs="宋体"/>
                <w:sz w:val="24"/>
                <w:szCs w:val="24"/>
                <w:lang w:eastAsia="zh-CN" w:bidi="ar"/>
              </w:rPr>
              <w:t>DRGs</w:t>
            </w:r>
            <w:r>
              <w:rPr>
                <w:rFonts w:ascii="宋体" w:hAnsi="宋体" w:cs="宋体"/>
                <w:sz w:val="24"/>
                <w:szCs w:val="24"/>
                <w:lang w:bidi="ar"/>
              </w:rPr>
              <w:t>2.0不作为入组条件的诊断、手术标签展示；</w:t>
            </w:r>
            <w:r>
              <w:rPr>
                <w:rFonts w:ascii="宋体" w:hAnsi="宋体" w:cs="宋体"/>
                <w:sz w:val="24"/>
                <w:szCs w:val="24"/>
                <w:lang w:bidi="ar"/>
              </w:rPr>
              <w:br w:type="textWrapping"/>
            </w:r>
            <w:r>
              <w:rPr>
                <w:rFonts w:ascii="宋体" w:hAnsi="宋体" w:cs="宋体"/>
                <w:sz w:val="24"/>
                <w:szCs w:val="24"/>
                <w:lang w:bidi="ar"/>
              </w:rPr>
              <w:t>9. 增加年累计床日判断，能够在系统直接标识年累计床日病例，并进行统计分析。</w:t>
            </w:r>
          </w:p>
        </w:tc>
        <w:tc>
          <w:tcPr>
            <w:tcW w:w="990" w:type="pct"/>
          </w:tcPr>
          <w:p w14:paraId="117B2424">
            <w:pPr>
              <w:adjustRightInd w:val="0"/>
              <w:snapToGrid w:val="0"/>
              <w:rPr>
                <w:rFonts w:hint="eastAsia" w:ascii="宋体" w:hAnsi="宋体" w:cs="宋体"/>
                <w:sz w:val="24"/>
                <w:szCs w:val="24"/>
              </w:rPr>
            </w:pPr>
          </w:p>
        </w:tc>
      </w:tr>
    </w:tbl>
    <w:p w14:paraId="582A70B1">
      <w:pPr>
        <w:pStyle w:val="2"/>
      </w:pPr>
    </w:p>
    <w:p w14:paraId="159F1D2F">
      <w:pPr>
        <w:pStyle w:val="5"/>
        <w:numPr>
          <w:ilvl w:val="2"/>
          <w:numId w:val="0"/>
        </w:numPr>
        <w:ind w:left="0" w:firstLine="0"/>
      </w:pPr>
      <w:bookmarkStart w:id="1" w:name="_Toc215565982"/>
      <w:r>
        <w:rPr>
          <w:rFonts w:hint="eastAsia" w:cs="Times New Roman"/>
          <w:b/>
          <w:bCs/>
          <w:kern w:val="2"/>
          <w:sz w:val="32"/>
          <w:szCs w:val="32"/>
          <w:lang w:val="en-US" w:eastAsia="zh-CN" w:bidi="ar-SA"/>
        </w:rPr>
        <w:t>2.</w:t>
      </w:r>
      <w:r>
        <w:rPr>
          <w:rFonts w:hint="eastAsia"/>
        </w:rPr>
        <w:t>项目运维服务内容</w:t>
      </w:r>
      <w:bookmarkEnd w:id="1"/>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6181"/>
      </w:tblGrid>
      <w:tr w14:paraId="228B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4" w:hRule="atLeast"/>
        </w:trPr>
        <w:tc>
          <w:tcPr>
            <w:tcW w:w="1372" w:type="pct"/>
          </w:tcPr>
          <w:p w14:paraId="142F3F89">
            <w:pPr>
              <w:jc w:val="left"/>
              <w:textAlignment w:val="top"/>
              <w:rPr>
                <w:rFonts w:hint="eastAsia" w:ascii="宋体" w:hAnsi="宋体" w:cs="宋体"/>
                <w:color w:val="000000"/>
                <w:sz w:val="24"/>
              </w:rPr>
            </w:pPr>
            <w:r>
              <w:rPr>
                <w:rFonts w:hint="eastAsia" w:ascii="宋体" w:hAnsi="宋体" w:cs="宋体"/>
                <w:color w:val="000000"/>
                <w:kern w:val="0"/>
                <w:sz w:val="24"/>
                <w:lang w:bidi="ar"/>
              </w:rPr>
              <w:t>服务要求</w:t>
            </w:r>
          </w:p>
        </w:tc>
        <w:tc>
          <w:tcPr>
            <w:tcW w:w="3627" w:type="pct"/>
          </w:tcPr>
          <w:p w14:paraId="73A52BBB">
            <w:pPr>
              <w:jc w:val="left"/>
              <w:textAlignment w:val="top"/>
              <w:rPr>
                <w:rFonts w:hint="eastAsia" w:ascii="宋体" w:hAnsi="宋体" w:cs="宋体"/>
                <w:color w:val="000000"/>
                <w:sz w:val="24"/>
              </w:rPr>
            </w:pPr>
            <w:r>
              <w:rPr>
                <w:rFonts w:hint="eastAsia" w:ascii="宋体" w:hAnsi="宋体" w:cs="宋体"/>
                <w:color w:val="000000"/>
                <w:kern w:val="0"/>
                <w:sz w:val="24"/>
                <w:lang w:bidi="ar"/>
              </w:rPr>
              <w:t>服务内容</w:t>
            </w:r>
          </w:p>
        </w:tc>
      </w:tr>
      <w:tr w14:paraId="4E51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trPr>
        <w:tc>
          <w:tcPr>
            <w:tcW w:w="1372" w:type="pct"/>
            <w:vAlign w:val="center"/>
          </w:tcPr>
          <w:p w14:paraId="5F5143CE">
            <w:pPr>
              <w:textAlignment w:val="top"/>
              <w:rPr>
                <w:rFonts w:hint="eastAsia" w:ascii="宋体" w:hAnsi="宋体" w:cs="宋体"/>
                <w:kern w:val="0"/>
                <w:sz w:val="24"/>
                <w:lang w:bidi="ar"/>
              </w:rPr>
            </w:pPr>
            <w:r>
              <w:rPr>
                <w:rFonts w:hint="eastAsia" w:ascii="宋体" w:hAnsi="宋体" w:cs="宋体"/>
                <w:kern w:val="0"/>
                <w:sz w:val="24"/>
                <w:lang w:bidi="ar"/>
              </w:rPr>
              <w:t>月度运维内容</w:t>
            </w:r>
          </w:p>
        </w:tc>
        <w:tc>
          <w:tcPr>
            <w:tcW w:w="3627" w:type="pct"/>
            <w:vAlign w:val="center"/>
          </w:tcPr>
          <w:p w14:paraId="4BA32F12">
            <w:pPr>
              <w:textAlignment w:val="top"/>
              <w:rPr>
                <w:rFonts w:hint="eastAsia" w:ascii="宋体" w:hAnsi="宋体" w:cs="宋体"/>
                <w:kern w:val="0"/>
                <w:sz w:val="24"/>
                <w:lang w:bidi="ar"/>
              </w:rPr>
            </w:pPr>
            <w:r>
              <w:rPr>
                <w:rFonts w:hint="eastAsia" w:ascii="宋体" w:hAnsi="宋体" w:cs="宋体"/>
                <w:sz w:val="24"/>
                <w:lang w:eastAsia="zh-CN"/>
              </w:rPr>
              <w:t>DRGs</w:t>
            </w:r>
            <w:r>
              <w:rPr>
                <w:rFonts w:hint="eastAsia" w:ascii="宋体" w:hAnsi="宋体" w:cs="宋体"/>
                <w:sz w:val="24"/>
              </w:rPr>
              <w:t>事中预警；</w:t>
            </w:r>
            <w:r>
              <w:rPr>
                <w:rFonts w:hint="eastAsia" w:ascii="宋体" w:hAnsi="宋体" w:cs="宋体"/>
                <w:sz w:val="24"/>
                <w:lang w:eastAsia="zh-CN"/>
              </w:rPr>
              <w:t>DRGs</w:t>
            </w:r>
            <w:r>
              <w:rPr>
                <w:rFonts w:hint="eastAsia" w:ascii="宋体" w:hAnsi="宋体" w:cs="宋体"/>
                <w:color w:val="000000"/>
                <w:spacing w:val="-6"/>
                <w:sz w:val="24"/>
                <w:szCs w:val="24"/>
              </w:rPr>
              <w:t>在院监测</w:t>
            </w:r>
            <w:r>
              <w:rPr>
                <w:rFonts w:hint="eastAsia" w:ascii="宋体" w:hAnsi="宋体" w:cs="宋体"/>
                <w:sz w:val="24"/>
              </w:rPr>
              <w:t>；</w:t>
            </w:r>
            <w:r>
              <w:rPr>
                <w:rFonts w:hint="eastAsia" w:ascii="宋体" w:hAnsi="宋体" w:cs="宋体"/>
                <w:snapToGrid w:val="0"/>
                <w:kern w:val="28"/>
                <w:sz w:val="24"/>
                <w:lang w:eastAsia="zh-CN"/>
              </w:rPr>
              <w:t>DRGs</w:t>
            </w:r>
            <w:r>
              <w:rPr>
                <w:rFonts w:hint="eastAsia" w:ascii="宋体" w:hAnsi="宋体" w:cs="宋体"/>
                <w:snapToGrid w:val="0"/>
                <w:kern w:val="28"/>
                <w:sz w:val="24"/>
              </w:rPr>
              <w:t>运营分析服务；</w:t>
            </w:r>
            <w:r>
              <w:rPr>
                <w:rFonts w:hint="eastAsia" w:ascii="宋体" w:hAnsi="宋体" w:cs="宋体"/>
                <w:sz w:val="24"/>
                <w:lang w:eastAsia="zh-CN"/>
              </w:rPr>
              <w:t>DRGs</w:t>
            </w:r>
            <w:r>
              <w:rPr>
                <w:rFonts w:hint="eastAsia" w:ascii="宋体" w:hAnsi="宋体" w:cs="宋体"/>
                <w:sz w:val="24"/>
              </w:rPr>
              <w:t>结算管理服务；医保结算清单质控服务；若远程解决不了，4小时内到达现场，给出相应解决方案并实施服务。</w:t>
            </w:r>
          </w:p>
        </w:tc>
      </w:tr>
      <w:tr w14:paraId="464E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trPr>
        <w:tc>
          <w:tcPr>
            <w:tcW w:w="1372" w:type="pct"/>
            <w:vAlign w:val="center"/>
          </w:tcPr>
          <w:p w14:paraId="36CA05F7">
            <w:pPr>
              <w:textAlignment w:val="top"/>
              <w:rPr>
                <w:rFonts w:hint="eastAsia" w:ascii="宋体" w:hAnsi="宋体" w:cs="宋体"/>
                <w:color w:val="000000"/>
                <w:sz w:val="24"/>
              </w:rPr>
            </w:pPr>
            <w:r>
              <w:rPr>
                <w:rFonts w:hint="eastAsia" w:ascii="宋体" w:hAnsi="宋体" w:cs="宋体"/>
                <w:color w:val="000000"/>
                <w:kern w:val="0"/>
                <w:sz w:val="24"/>
                <w:lang w:bidi="ar"/>
              </w:rPr>
              <w:t>接口开放服务</w:t>
            </w:r>
          </w:p>
        </w:tc>
        <w:tc>
          <w:tcPr>
            <w:tcW w:w="3627" w:type="pct"/>
            <w:vAlign w:val="center"/>
          </w:tcPr>
          <w:p w14:paraId="7F53A0DB">
            <w:pPr>
              <w:textAlignment w:val="top"/>
              <w:rPr>
                <w:rFonts w:hint="eastAsia" w:ascii="宋体" w:hAnsi="宋体" w:cs="宋体"/>
                <w:color w:val="000000"/>
                <w:sz w:val="24"/>
              </w:rPr>
            </w:pPr>
            <w:r>
              <w:rPr>
                <w:rFonts w:hint="eastAsia" w:ascii="宋体" w:hAnsi="宋体" w:cs="宋体"/>
                <w:color w:val="000000"/>
                <w:kern w:val="0"/>
                <w:sz w:val="24"/>
                <w:lang w:bidi="ar"/>
              </w:rPr>
              <w:t>提供</w:t>
            </w:r>
            <w:r>
              <w:rPr>
                <w:rFonts w:hint="eastAsia" w:ascii="宋体" w:hAnsi="宋体" w:cs="宋体"/>
                <w:color w:val="000000"/>
                <w:kern w:val="0"/>
                <w:sz w:val="24"/>
                <w:lang w:eastAsia="zh-CN" w:bidi="ar"/>
              </w:rPr>
              <w:t>DRGs</w:t>
            </w:r>
            <w:r>
              <w:rPr>
                <w:rFonts w:hint="eastAsia" w:ascii="宋体" w:hAnsi="宋体" w:cs="宋体"/>
                <w:color w:val="000000"/>
                <w:kern w:val="0"/>
                <w:sz w:val="24"/>
                <w:lang w:bidi="ar"/>
              </w:rPr>
              <w:t>分组信息接口，可支持HIS及医院统一信息化管理集成平台调用。</w:t>
            </w:r>
          </w:p>
        </w:tc>
      </w:tr>
      <w:tr w14:paraId="3B6F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trPr>
        <w:tc>
          <w:tcPr>
            <w:tcW w:w="1372" w:type="pct"/>
            <w:vAlign w:val="center"/>
          </w:tcPr>
          <w:p w14:paraId="5B02B597">
            <w:pPr>
              <w:textAlignment w:val="center"/>
              <w:rPr>
                <w:rFonts w:hint="eastAsia" w:ascii="宋体" w:hAnsi="宋体" w:cs="宋体"/>
                <w:color w:val="000000"/>
                <w:sz w:val="24"/>
              </w:rPr>
            </w:pPr>
            <w:r>
              <w:rPr>
                <w:rFonts w:hint="eastAsia" w:ascii="宋体" w:hAnsi="宋体" w:cs="宋体"/>
                <w:color w:val="000000"/>
                <w:kern w:val="0"/>
                <w:sz w:val="24"/>
                <w:lang w:bidi="ar"/>
              </w:rPr>
              <w:t>产品缺陷修复服务</w:t>
            </w:r>
          </w:p>
        </w:tc>
        <w:tc>
          <w:tcPr>
            <w:tcW w:w="3627" w:type="pct"/>
            <w:vAlign w:val="center"/>
          </w:tcPr>
          <w:p w14:paraId="11FD3F38">
            <w:pPr>
              <w:textAlignment w:val="top"/>
              <w:rPr>
                <w:rFonts w:hint="eastAsia" w:ascii="宋体" w:hAnsi="宋体" w:cs="宋体"/>
                <w:color w:val="000000"/>
                <w:sz w:val="24"/>
              </w:rPr>
            </w:pPr>
            <w:r>
              <w:rPr>
                <w:rFonts w:hint="eastAsia" w:ascii="宋体" w:hAnsi="宋体" w:cs="宋体"/>
                <w:color w:val="000000"/>
                <w:kern w:val="0"/>
                <w:sz w:val="24"/>
                <w:lang w:val="en-US" w:eastAsia="zh-CN" w:bidi="ar"/>
              </w:rPr>
              <w:t>修改</w:t>
            </w:r>
            <w:r>
              <w:rPr>
                <w:rFonts w:hint="eastAsia" w:ascii="宋体" w:hAnsi="宋体" w:cs="宋体"/>
                <w:color w:val="000000"/>
                <w:kern w:val="0"/>
                <w:sz w:val="24"/>
                <w:lang w:bidi="ar"/>
              </w:rPr>
              <w:t>使用过程中发现产品有关的缺陷或错误。</w:t>
            </w:r>
          </w:p>
        </w:tc>
      </w:tr>
      <w:tr w14:paraId="69DE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trPr>
        <w:tc>
          <w:tcPr>
            <w:tcW w:w="1372" w:type="pct"/>
            <w:vAlign w:val="center"/>
          </w:tcPr>
          <w:p w14:paraId="2D76467F">
            <w:pPr>
              <w:textAlignment w:val="center"/>
              <w:rPr>
                <w:rFonts w:hint="eastAsia" w:ascii="宋体" w:hAnsi="宋体" w:cs="宋体"/>
                <w:color w:val="000000"/>
                <w:sz w:val="24"/>
              </w:rPr>
            </w:pPr>
            <w:r>
              <w:rPr>
                <w:rFonts w:hint="eastAsia" w:ascii="宋体" w:hAnsi="宋体" w:cs="宋体"/>
                <w:color w:val="000000"/>
                <w:kern w:val="0"/>
                <w:sz w:val="24"/>
                <w:lang w:bidi="ar"/>
              </w:rPr>
              <w:t>日常运维服务</w:t>
            </w:r>
          </w:p>
        </w:tc>
        <w:tc>
          <w:tcPr>
            <w:tcW w:w="3627" w:type="pct"/>
            <w:vAlign w:val="center"/>
          </w:tcPr>
          <w:p w14:paraId="2D7B2F9C">
            <w:pPr>
              <w:textAlignment w:val="top"/>
              <w:rPr>
                <w:rFonts w:hint="eastAsia" w:ascii="宋体" w:hAnsi="宋体" w:cs="宋体"/>
                <w:color w:val="000000"/>
                <w:sz w:val="24"/>
              </w:rPr>
            </w:pPr>
            <w:r>
              <w:rPr>
                <w:rFonts w:hint="eastAsia" w:ascii="宋体" w:hAnsi="宋体" w:cs="宋体"/>
                <w:color w:val="000000"/>
                <w:kern w:val="0"/>
                <w:sz w:val="24"/>
                <w:lang w:bidi="ar"/>
              </w:rPr>
              <w:t>在服务期内，成立专业的运维服务工作小组协助</w:t>
            </w:r>
            <w:r>
              <w:rPr>
                <w:rFonts w:hint="eastAsia" w:ascii="宋体" w:hAnsi="宋体" w:cs="宋体"/>
                <w:color w:val="000000"/>
                <w:kern w:val="0"/>
                <w:sz w:val="24"/>
                <w:lang w:val="en-US" w:eastAsia="zh-CN" w:bidi="ar"/>
              </w:rPr>
              <w:t>医院</w:t>
            </w:r>
            <w:r>
              <w:rPr>
                <w:rFonts w:hint="eastAsia" w:ascii="宋体" w:hAnsi="宋体" w:cs="宋体"/>
                <w:color w:val="000000"/>
                <w:kern w:val="0"/>
                <w:sz w:val="24"/>
                <w:lang w:bidi="ar"/>
              </w:rPr>
              <w:t>进行日常维护工作；</w:t>
            </w:r>
            <w:r>
              <w:rPr>
                <w:rFonts w:hint="eastAsia" w:ascii="宋体" w:hAnsi="宋体" w:cs="宋体"/>
                <w:color w:val="000000"/>
                <w:kern w:val="0"/>
                <w:sz w:val="24"/>
                <w:lang w:val="en-US" w:eastAsia="zh-CN" w:bidi="ar"/>
              </w:rPr>
              <w:t>医院</w:t>
            </w:r>
            <w:r>
              <w:rPr>
                <w:rFonts w:hint="eastAsia" w:ascii="宋体" w:hAnsi="宋体" w:cs="宋体"/>
                <w:color w:val="000000"/>
                <w:kern w:val="0"/>
                <w:sz w:val="24"/>
                <w:lang w:bidi="ar"/>
              </w:rPr>
              <w:t>业务问题咨询，供应商半小时内响应；如远程服务无法解决需提供现场服务的，4小时内到达现场，24小时内解决故障；提供本地化运营维护服务团队，提供7*24小时的故障处理；</w:t>
            </w:r>
          </w:p>
        </w:tc>
      </w:tr>
      <w:tr w14:paraId="2D25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trPr>
        <w:tc>
          <w:tcPr>
            <w:tcW w:w="1372" w:type="pct"/>
            <w:vAlign w:val="center"/>
          </w:tcPr>
          <w:p w14:paraId="0C653966">
            <w:pPr>
              <w:textAlignment w:val="center"/>
              <w:rPr>
                <w:rFonts w:hint="eastAsia" w:ascii="宋体" w:hAnsi="宋体" w:cs="宋体"/>
                <w:color w:val="FF0000"/>
                <w:kern w:val="0"/>
                <w:sz w:val="24"/>
                <w:lang w:bidi="ar"/>
              </w:rPr>
            </w:pPr>
            <w:r>
              <w:rPr>
                <w:rFonts w:ascii="宋体" w:hAnsi="宋体" w:cs="宋体"/>
                <w:color w:val="000000"/>
                <w:kern w:val="0"/>
                <w:sz w:val="24"/>
                <w:lang w:bidi="ar"/>
              </w:rPr>
              <w:t>数据治理服务</w:t>
            </w:r>
          </w:p>
        </w:tc>
        <w:tc>
          <w:tcPr>
            <w:tcW w:w="3627" w:type="pct"/>
            <w:vAlign w:val="center"/>
          </w:tcPr>
          <w:p w14:paraId="2257C3E4">
            <w:pPr>
              <w:widowControl w:val="0"/>
              <w:rPr>
                <w:rFonts w:hint="eastAsia" w:ascii="宋体" w:hAnsi="宋体" w:cs="宋体"/>
                <w:sz w:val="24"/>
                <w:szCs w:val="24"/>
              </w:rPr>
            </w:pPr>
            <w:r>
              <w:rPr>
                <w:rFonts w:hint="eastAsia" w:ascii="宋体" w:hAnsi="宋体" w:cs="宋体"/>
                <w:sz w:val="24"/>
                <w:szCs w:val="24"/>
                <w:lang w:bidi="ar"/>
              </w:rPr>
              <w:t>提供基础数据错误修正服务，对缺失字段补充完整、格式错误数据标准化处理；记录问题处理过程。</w:t>
            </w:r>
          </w:p>
          <w:p w14:paraId="1C02C065">
            <w:pPr>
              <w:widowControl w:val="0"/>
              <w:rPr>
                <w:rFonts w:hint="eastAsia" w:ascii="宋体" w:hAnsi="宋体" w:cs="宋体"/>
                <w:sz w:val="24"/>
                <w:szCs w:val="24"/>
              </w:rPr>
            </w:pPr>
            <w:r>
              <w:rPr>
                <w:rFonts w:hint="eastAsia" w:ascii="宋体" w:hAnsi="宋体" w:cs="宋体"/>
                <w:sz w:val="24"/>
                <w:szCs w:val="24"/>
                <w:lang w:bidi="ar"/>
              </w:rPr>
              <w:t>提供诊断数据问题处理服务明确诊断数据问题（如编码错误、描述不规范）的原因（如编码员操作失误、字典库未更新）及责任方；提供诊断编码校验及修正服务，确保编码与诊断描述匹配。</w:t>
            </w:r>
          </w:p>
          <w:p w14:paraId="309BAFDE">
            <w:pPr>
              <w:widowControl w:val="0"/>
              <w:rPr>
                <w:rFonts w:hint="eastAsia" w:ascii="宋体" w:hAnsi="宋体" w:cs="宋体"/>
                <w:sz w:val="24"/>
                <w:szCs w:val="24"/>
              </w:rPr>
            </w:pPr>
            <w:r>
              <w:rPr>
                <w:rFonts w:hint="eastAsia" w:ascii="宋体" w:hAnsi="宋体" w:cs="宋体"/>
                <w:sz w:val="24"/>
                <w:szCs w:val="24"/>
                <w:lang w:bidi="ar"/>
              </w:rPr>
              <w:t>提供手术数据问题处理服务明确手术数据问题（如名称与代码不匹配、记录不完整）的原因（如手术记录系统录入错误、数据关联规则异常）及责任方；提供手术数据关联校验及补全服务，修正名称与代码对应关系。</w:t>
            </w:r>
          </w:p>
          <w:p w14:paraId="5FB6B4EF">
            <w:pPr>
              <w:widowControl w:val="0"/>
              <w:rPr>
                <w:rFonts w:hint="eastAsia" w:ascii="宋体" w:hAnsi="宋体" w:cs="宋体"/>
                <w:sz w:val="24"/>
                <w:szCs w:val="24"/>
              </w:rPr>
            </w:pPr>
            <w:r>
              <w:rPr>
                <w:rFonts w:hint="eastAsia" w:ascii="宋体" w:hAnsi="宋体" w:cs="宋体"/>
                <w:sz w:val="24"/>
                <w:szCs w:val="24"/>
                <w:lang w:bidi="ar"/>
              </w:rPr>
              <w:t>提供费用数据问题处理服务明确费用数据问题（如收费项目与医保编码不匹配、核算错误）的原因（如计费规则调整未同步、传输丢包）及责任方；提供费用数据对账及修正服务，确保与医保编码匹配及医疗总费用、医保结算费用、超支结余准确。</w:t>
            </w:r>
          </w:p>
          <w:p w14:paraId="7F481421">
            <w:pPr>
              <w:widowControl w:val="0"/>
              <w:rPr>
                <w:rFonts w:hint="eastAsia" w:ascii="宋体" w:hAnsi="宋体" w:cs="宋体"/>
                <w:sz w:val="24"/>
                <w:szCs w:val="24"/>
              </w:rPr>
            </w:pPr>
            <w:r>
              <w:rPr>
                <w:rFonts w:hint="eastAsia" w:ascii="宋体" w:hAnsi="宋体" w:cs="宋体"/>
                <w:sz w:val="24"/>
                <w:szCs w:val="24"/>
                <w:lang w:bidi="ar"/>
              </w:rPr>
              <w:t xml:space="preserve">提供分组数据问题处理服务明确分组数据问题（如 </w:t>
            </w:r>
            <w:r>
              <w:rPr>
                <w:rFonts w:hint="eastAsia" w:ascii="宋体" w:hAnsi="宋体" w:cs="宋体"/>
                <w:sz w:val="24"/>
                <w:szCs w:val="24"/>
                <w:lang w:eastAsia="zh-CN" w:bidi="ar"/>
              </w:rPr>
              <w:t>DRGs</w:t>
            </w:r>
            <w:r>
              <w:rPr>
                <w:rFonts w:hint="eastAsia" w:ascii="宋体" w:hAnsi="宋体" w:cs="宋体"/>
                <w:sz w:val="24"/>
                <w:szCs w:val="24"/>
                <w:lang w:bidi="ar"/>
              </w:rPr>
              <w:t>分组规则应用错误、结果偏差）的原因（如规则配置错误、原始数据错误）及责任方；提供分组规则校验及数据修正服务，调整规则配置或推动修正原始数据。</w:t>
            </w:r>
          </w:p>
          <w:p w14:paraId="0B3937FE">
            <w:pPr>
              <w:rPr>
                <w:rFonts w:hint="eastAsia" w:ascii="宋体" w:hAnsi="宋体" w:cs="宋体"/>
                <w:color w:val="FF0000"/>
                <w:kern w:val="0"/>
                <w:sz w:val="24"/>
                <w:lang w:bidi="ar"/>
              </w:rPr>
            </w:pPr>
            <w:r>
              <w:rPr>
                <w:rFonts w:hint="eastAsia" w:ascii="宋体" w:hAnsi="宋体" w:cs="宋体"/>
                <w:sz w:val="24"/>
                <w:szCs w:val="24"/>
                <w:lang w:bidi="ar"/>
              </w:rPr>
              <w:t>其他数据问题处理服务。</w:t>
            </w:r>
          </w:p>
        </w:tc>
      </w:tr>
      <w:tr w14:paraId="67D7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trPr>
        <w:tc>
          <w:tcPr>
            <w:tcW w:w="1372" w:type="pct"/>
            <w:vAlign w:val="center"/>
          </w:tcPr>
          <w:p w14:paraId="1CEE1398">
            <w:pPr>
              <w:textAlignment w:val="center"/>
              <w:rPr>
                <w:rFonts w:hint="eastAsia" w:ascii="宋体" w:hAnsi="宋体" w:cs="宋体"/>
                <w:color w:val="000000"/>
                <w:sz w:val="24"/>
              </w:rPr>
            </w:pPr>
            <w:r>
              <w:rPr>
                <w:rFonts w:hint="eastAsia" w:ascii="宋体" w:hAnsi="宋体" w:cs="宋体"/>
                <w:color w:val="000000"/>
                <w:kern w:val="0"/>
                <w:sz w:val="24"/>
                <w:lang w:bidi="ar"/>
              </w:rPr>
              <w:t>定期巡检服务</w:t>
            </w:r>
          </w:p>
        </w:tc>
        <w:tc>
          <w:tcPr>
            <w:tcW w:w="3627" w:type="pct"/>
            <w:vAlign w:val="center"/>
          </w:tcPr>
          <w:p w14:paraId="74728150">
            <w:pPr>
              <w:textAlignment w:val="top"/>
              <w:rPr>
                <w:rFonts w:hint="eastAsia" w:ascii="宋体" w:hAnsi="宋体" w:cs="宋体"/>
                <w:color w:val="000000"/>
                <w:sz w:val="24"/>
              </w:rPr>
            </w:pPr>
            <w:r>
              <w:rPr>
                <w:rFonts w:hint="eastAsia" w:ascii="宋体" w:hAnsi="宋体" w:cs="宋体"/>
                <w:color w:val="000000"/>
                <w:kern w:val="0"/>
                <w:sz w:val="24"/>
                <w:lang w:bidi="ar"/>
              </w:rPr>
              <w:t>定期对系统进行功能和性能的全面检查，包括但不限于软件功能、权限设置等；定期检查软件系统的运行状态和资源使用情况，包括但不限于CPU使用率、内存利用率、磁盘空间等；定期检查软件系统的异常情况，包括但不限于日志记录、错误信息、警报状态等。分析软件系统的巡检结果，发现问题。</w:t>
            </w:r>
          </w:p>
        </w:tc>
      </w:tr>
      <w:tr w14:paraId="6367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trPr>
        <w:tc>
          <w:tcPr>
            <w:tcW w:w="1372" w:type="pct"/>
            <w:vAlign w:val="center"/>
          </w:tcPr>
          <w:p w14:paraId="5BA4397D">
            <w:pPr>
              <w:textAlignment w:val="center"/>
              <w:rPr>
                <w:rFonts w:hint="eastAsia" w:ascii="宋体" w:hAnsi="宋体" w:cs="宋体"/>
                <w:color w:val="000000"/>
                <w:sz w:val="24"/>
              </w:rPr>
            </w:pPr>
            <w:r>
              <w:rPr>
                <w:rFonts w:hint="eastAsia" w:ascii="宋体" w:hAnsi="宋体" w:cs="宋体"/>
                <w:color w:val="000000"/>
                <w:kern w:val="0"/>
                <w:sz w:val="24"/>
                <w:lang w:bidi="ar"/>
              </w:rPr>
              <w:t>需求响应服务</w:t>
            </w:r>
          </w:p>
        </w:tc>
        <w:tc>
          <w:tcPr>
            <w:tcW w:w="3627" w:type="pct"/>
            <w:vAlign w:val="center"/>
          </w:tcPr>
          <w:p w14:paraId="463E69A5">
            <w:pPr>
              <w:textAlignment w:val="top"/>
              <w:rPr>
                <w:rFonts w:hint="eastAsia" w:ascii="宋体" w:hAnsi="宋体" w:cs="宋体"/>
                <w:color w:val="000000"/>
                <w:sz w:val="24"/>
              </w:rPr>
            </w:pPr>
            <w:r>
              <w:rPr>
                <w:rFonts w:hint="eastAsia" w:ascii="宋体" w:hAnsi="宋体" w:cs="宋体"/>
                <w:color w:val="000000"/>
                <w:kern w:val="0"/>
                <w:sz w:val="24"/>
                <w:lang w:bidi="ar"/>
              </w:rPr>
              <w:t>在系统使用过程中如</w:t>
            </w:r>
            <w:r>
              <w:rPr>
                <w:rFonts w:hint="eastAsia" w:ascii="宋体" w:hAnsi="宋体" w:cs="宋体"/>
                <w:color w:val="000000"/>
                <w:kern w:val="0"/>
                <w:sz w:val="24"/>
                <w:lang w:val="en-US" w:eastAsia="zh-CN" w:bidi="ar"/>
              </w:rPr>
              <w:t>医院</w:t>
            </w:r>
            <w:r>
              <w:rPr>
                <w:rFonts w:hint="eastAsia" w:ascii="宋体" w:hAnsi="宋体" w:cs="宋体"/>
                <w:color w:val="000000"/>
                <w:kern w:val="0"/>
                <w:sz w:val="24"/>
                <w:lang w:bidi="ar"/>
              </w:rPr>
              <w:t>产生新的需求，供应商应具备有一整套的需求服务体系，供应商需在规定的时间内给予响应，包括：新需求的受理或不受理以及原因的反馈和其他解决方案的反馈。</w:t>
            </w:r>
          </w:p>
        </w:tc>
      </w:tr>
      <w:tr w14:paraId="5A6D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trPr>
        <w:tc>
          <w:tcPr>
            <w:tcW w:w="1372" w:type="pct"/>
            <w:vAlign w:val="center"/>
          </w:tcPr>
          <w:p w14:paraId="1C8D6950">
            <w:pPr>
              <w:textAlignment w:val="center"/>
              <w:rPr>
                <w:rFonts w:hint="eastAsia" w:ascii="宋体" w:hAnsi="宋体" w:cs="宋体"/>
                <w:color w:val="000000"/>
                <w:sz w:val="24"/>
              </w:rPr>
            </w:pPr>
            <w:r>
              <w:rPr>
                <w:rFonts w:hint="eastAsia" w:ascii="宋体" w:hAnsi="宋体" w:cs="宋体"/>
                <w:color w:val="000000"/>
                <w:kern w:val="0"/>
                <w:sz w:val="24"/>
                <w:lang w:bidi="ar"/>
              </w:rPr>
              <w:t>技术支援专家服务</w:t>
            </w:r>
          </w:p>
        </w:tc>
        <w:tc>
          <w:tcPr>
            <w:tcW w:w="3627" w:type="pct"/>
            <w:vAlign w:val="center"/>
          </w:tcPr>
          <w:p w14:paraId="780DF3CE">
            <w:pPr>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指定专属服务经理，提供技术咨询、故障诊断、故障排除、以及现场支持等具体的技术支持工作，并提供解</w:t>
            </w:r>
          </w:p>
          <w:p w14:paraId="4A4F2C8F">
            <w:pPr>
              <w:textAlignment w:val="top"/>
              <w:rPr>
                <w:rFonts w:hint="eastAsia" w:ascii="宋体" w:hAnsi="宋体" w:cs="宋体"/>
                <w:color w:val="000000"/>
                <w:sz w:val="24"/>
              </w:rPr>
            </w:pPr>
            <w:r>
              <w:rPr>
                <w:rFonts w:hint="eastAsia" w:ascii="宋体" w:hAnsi="宋体" w:cs="宋体"/>
                <w:color w:val="000000"/>
                <w:kern w:val="0"/>
                <w:sz w:val="24"/>
                <w:lang w:bidi="ar"/>
              </w:rPr>
              <w:t>决措施。</w:t>
            </w:r>
          </w:p>
        </w:tc>
      </w:tr>
      <w:tr w14:paraId="4B22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2" w:type="pct"/>
            <w:vAlign w:val="center"/>
          </w:tcPr>
          <w:p w14:paraId="5CE966DF">
            <w:pP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应急保障</w:t>
            </w:r>
          </w:p>
        </w:tc>
        <w:tc>
          <w:tcPr>
            <w:tcW w:w="3627" w:type="pct"/>
            <w:vAlign w:val="center"/>
          </w:tcPr>
          <w:p w14:paraId="463753A7">
            <w:pP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医院</w:t>
            </w:r>
            <w:r>
              <w:rPr>
                <w:rFonts w:hint="eastAsia" w:ascii="宋体" w:hAnsi="宋体" w:cs="宋体"/>
                <w:color w:val="000000"/>
                <w:kern w:val="0"/>
                <w:sz w:val="24"/>
                <w:lang w:bidi="ar"/>
              </w:rPr>
              <w:t>如有重大事件、临时软件服务改造等较特殊的保障措施，供应商按时提供服务。</w:t>
            </w:r>
          </w:p>
        </w:tc>
      </w:tr>
      <w:tr w14:paraId="7003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2" w:type="pct"/>
            <w:vAlign w:val="center"/>
          </w:tcPr>
          <w:p w14:paraId="6868DAEA">
            <w:pP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安全保障</w:t>
            </w:r>
          </w:p>
        </w:tc>
        <w:tc>
          <w:tcPr>
            <w:tcW w:w="3627" w:type="pct"/>
            <w:vAlign w:val="center"/>
          </w:tcPr>
          <w:p w14:paraId="5DBE852C">
            <w:pP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医院</w:t>
            </w:r>
            <w:r>
              <w:rPr>
                <w:rFonts w:hint="eastAsia" w:ascii="宋体" w:hAnsi="宋体" w:cs="宋体"/>
                <w:color w:val="000000"/>
                <w:kern w:val="0"/>
                <w:sz w:val="24"/>
                <w:lang w:bidi="ar"/>
              </w:rPr>
              <w:t>如有数据安全等较特殊的要求，供应商按照要求提供服务。</w:t>
            </w:r>
          </w:p>
        </w:tc>
      </w:tr>
      <w:tr w14:paraId="1EE8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2" w:type="pct"/>
            <w:vAlign w:val="center"/>
          </w:tcPr>
          <w:p w14:paraId="3266CBC2">
            <w:pP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数据质量监控</w:t>
            </w:r>
          </w:p>
        </w:tc>
        <w:tc>
          <w:tcPr>
            <w:tcW w:w="3627" w:type="pct"/>
            <w:vAlign w:val="center"/>
          </w:tcPr>
          <w:p w14:paraId="07C0E3AA">
            <w:pP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可</w:t>
            </w:r>
            <w:r>
              <w:rPr>
                <w:rFonts w:hint="eastAsia" w:ascii="宋体" w:hAnsi="宋体" w:cs="宋体"/>
                <w:color w:val="000000"/>
                <w:kern w:val="0"/>
                <w:sz w:val="24"/>
                <w:lang w:bidi="ar"/>
              </w:rPr>
              <w:t>实时监控系统数据质量，以提高系统使用的稳定性。</w:t>
            </w:r>
          </w:p>
        </w:tc>
      </w:tr>
    </w:tbl>
    <w:p w14:paraId="4F416270">
      <w:pPr>
        <w:pStyle w:val="2"/>
      </w:pPr>
    </w:p>
    <w:p w14:paraId="56292ABF">
      <w:pPr>
        <w:pStyle w:val="6"/>
        <w:numPr>
          <w:ilvl w:val="2"/>
          <w:numId w:val="0"/>
        </w:numPr>
        <w:ind w:left="720" w:hanging="720"/>
      </w:pPr>
      <w:r>
        <w:rPr>
          <w:rFonts w:hint="eastAsia"/>
          <w:lang w:val="en-US" w:eastAsia="zh-CN"/>
        </w:rPr>
        <w:t>3.</w:t>
      </w:r>
      <w:r>
        <w:rPr>
          <w:rFonts w:hint="eastAsia"/>
        </w:rPr>
        <w:t>数据分析</w:t>
      </w:r>
      <w:r>
        <w:rPr>
          <w:rFonts w:hint="eastAsia"/>
          <w:lang w:val="en-US" w:eastAsia="zh-CN"/>
        </w:rPr>
        <w:t>服务</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585"/>
        <w:gridCol w:w="4475"/>
        <w:gridCol w:w="1687"/>
        <w:tblGridChange w:id="0">
          <w:tblGrid>
            <w:gridCol w:w="752"/>
            <w:gridCol w:w="20"/>
            <w:gridCol w:w="1522"/>
            <w:gridCol w:w="63"/>
            <w:gridCol w:w="4294"/>
            <w:gridCol w:w="181"/>
            <w:gridCol w:w="1461"/>
            <w:gridCol w:w="226"/>
          </w:tblGrid>
        </w:tblGridChange>
      </w:tblGrid>
      <w:tr w14:paraId="6833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53" w:type="pct"/>
            <w:vAlign w:val="center"/>
          </w:tcPr>
          <w:p w14:paraId="0459CFFC">
            <w:pPr>
              <w:jc w:val="center"/>
              <w:rPr>
                <w:rFonts w:hint="eastAsia" w:ascii="宋体" w:hAnsi="宋体" w:cs="宋体"/>
                <w:sz w:val="24"/>
                <w:szCs w:val="24"/>
              </w:rPr>
            </w:pPr>
            <w:r>
              <w:rPr>
                <w:rFonts w:hint="eastAsia" w:ascii="宋体" w:hAnsi="宋体" w:cs="宋体"/>
                <w:sz w:val="24"/>
                <w:szCs w:val="24"/>
              </w:rPr>
              <w:t>序号</w:t>
            </w:r>
          </w:p>
        </w:tc>
        <w:tc>
          <w:tcPr>
            <w:tcW w:w="930" w:type="pct"/>
            <w:vAlign w:val="center"/>
          </w:tcPr>
          <w:p w14:paraId="048CADEC">
            <w:pPr>
              <w:jc w:val="center"/>
              <w:rPr>
                <w:rFonts w:hint="eastAsia" w:ascii="宋体" w:hAnsi="宋体" w:cs="宋体"/>
                <w:sz w:val="24"/>
                <w:szCs w:val="24"/>
              </w:rPr>
            </w:pPr>
            <w:r>
              <w:rPr>
                <w:rFonts w:hint="eastAsia" w:ascii="宋体" w:hAnsi="宋体" w:cs="宋体"/>
                <w:sz w:val="24"/>
                <w:szCs w:val="24"/>
              </w:rPr>
              <w:t>服务要求</w:t>
            </w:r>
          </w:p>
        </w:tc>
        <w:tc>
          <w:tcPr>
            <w:tcW w:w="2626" w:type="pct"/>
            <w:vAlign w:val="center"/>
          </w:tcPr>
          <w:p w14:paraId="23F8F321">
            <w:pPr>
              <w:jc w:val="center"/>
              <w:rPr>
                <w:rFonts w:hint="eastAsia" w:ascii="宋体" w:hAnsi="宋体" w:cs="宋体"/>
                <w:sz w:val="24"/>
                <w:szCs w:val="24"/>
              </w:rPr>
            </w:pPr>
            <w:r>
              <w:rPr>
                <w:rFonts w:hint="eastAsia" w:ascii="宋体" w:hAnsi="宋体" w:cs="宋体"/>
                <w:sz w:val="24"/>
                <w:szCs w:val="24"/>
              </w:rPr>
              <w:t>服务内容</w:t>
            </w:r>
          </w:p>
        </w:tc>
        <w:tc>
          <w:tcPr>
            <w:tcW w:w="990" w:type="pct"/>
            <w:vAlign w:val="center"/>
          </w:tcPr>
          <w:p w14:paraId="2093FBE7">
            <w:pPr>
              <w:jc w:val="center"/>
              <w:rPr>
                <w:rFonts w:hint="eastAsia" w:ascii="宋体" w:hAnsi="宋体" w:cs="宋体"/>
                <w:sz w:val="24"/>
                <w:szCs w:val="24"/>
              </w:rPr>
            </w:pPr>
            <w:r>
              <w:rPr>
                <w:rFonts w:hint="eastAsia" w:ascii="宋体" w:hAnsi="宋体" w:cs="宋体"/>
                <w:sz w:val="24"/>
                <w:szCs w:val="24"/>
              </w:rPr>
              <w:t>输出文档</w:t>
            </w:r>
          </w:p>
        </w:tc>
      </w:tr>
      <w:tr w14:paraId="42EB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1BFF46C9">
            <w:pPr>
              <w:jc w:val="center"/>
              <w:rPr>
                <w:rFonts w:hint="eastAsia" w:ascii="宋体" w:hAnsi="宋体" w:cs="宋体"/>
                <w:sz w:val="24"/>
                <w:szCs w:val="24"/>
                <w:highlight w:val="yellow"/>
              </w:rPr>
            </w:pPr>
            <w:r>
              <w:rPr>
                <w:rFonts w:hint="eastAsia" w:ascii="宋体" w:hAnsi="宋体" w:cs="宋体"/>
                <w:sz w:val="24"/>
                <w:szCs w:val="24"/>
              </w:rPr>
              <w:t>1</w:t>
            </w:r>
          </w:p>
        </w:tc>
        <w:tc>
          <w:tcPr>
            <w:tcW w:w="930" w:type="pct"/>
            <w:vAlign w:val="center"/>
          </w:tcPr>
          <w:p w14:paraId="2B4B5BB2">
            <w:pPr>
              <w:jc w:val="center"/>
              <w:rPr>
                <w:rFonts w:hint="eastAsia" w:ascii="宋体" w:hAnsi="宋体" w:cs="宋体"/>
                <w:sz w:val="24"/>
                <w:szCs w:val="24"/>
                <w:highlight w:val="yellow"/>
              </w:rPr>
            </w:pPr>
            <w:r>
              <w:rPr>
                <w:rFonts w:ascii="宋体" w:hAnsi="宋体" w:cs="宋体"/>
                <w:sz w:val="24"/>
                <w:szCs w:val="24"/>
              </w:rPr>
              <w:t>季度/年度标准模板医院运营分析报告</w:t>
            </w:r>
          </w:p>
        </w:tc>
        <w:tc>
          <w:tcPr>
            <w:tcW w:w="2626" w:type="pct"/>
            <w:vAlign w:val="center"/>
          </w:tcPr>
          <w:p w14:paraId="05098ADE">
            <w:pPr>
              <w:rPr>
                <w:rFonts w:hint="eastAsia" w:ascii="宋体" w:hAnsi="宋体" w:cs="宋体"/>
                <w:sz w:val="24"/>
                <w:szCs w:val="24"/>
                <w:highlight w:val="yellow"/>
              </w:rPr>
            </w:pPr>
            <w:r>
              <w:rPr>
                <w:rFonts w:ascii="宋体" w:hAnsi="宋体" w:cs="宋体"/>
                <w:sz w:val="24"/>
                <w:szCs w:val="24"/>
              </w:rPr>
              <w:t>构建“院-科”双轮驱动的</w:t>
            </w:r>
            <w:r>
              <w:rPr>
                <w:rFonts w:hint="eastAsia" w:ascii="宋体" w:hAnsi="宋体" w:cs="宋体"/>
                <w:sz w:val="24"/>
                <w:szCs w:val="24"/>
                <w:lang w:eastAsia="zh-CN"/>
              </w:rPr>
              <w:t>DRGs</w:t>
            </w:r>
            <w:r>
              <w:rPr>
                <w:rFonts w:ascii="宋体" w:hAnsi="宋体" w:cs="宋体"/>
                <w:sz w:val="24"/>
                <w:szCs w:val="24"/>
              </w:rPr>
              <w:t>运营分析体系，以医疗服务能力、医疗效率、医保结算、医疗质量四大维度为核心，编织纵横贯通的多维指标体系；通过时间序列追踪与环比/同比双重透视，精准锁定波动节点与异常切口；最终回归学科发展视角，为医院绘制战略蓝图、优化资源配置提供循证决策与前瞻指引。</w:t>
            </w:r>
          </w:p>
        </w:tc>
        <w:tc>
          <w:tcPr>
            <w:tcW w:w="990" w:type="pct"/>
            <w:vAlign w:val="center"/>
          </w:tcPr>
          <w:p w14:paraId="5A2119E6">
            <w:pPr>
              <w:rPr>
                <w:rFonts w:hint="eastAsia" w:ascii="宋体" w:hAnsi="宋体" w:cs="宋体"/>
                <w:sz w:val="24"/>
                <w:szCs w:val="24"/>
                <w:highlight w:val="yellow"/>
              </w:rPr>
            </w:pPr>
            <w:r>
              <w:rPr>
                <w:rFonts w:hint="eastAsia" w:ascii="宋体" w:hAnsi="宋体" w:cs="宋体"/>
                <w:sz w:val="24"/>
                <w:szCs w:val="24"/>
              </w:rPr>
              <w:t>《</w:t>
            </w:r>
            <w:r>
              <w:rPr>
                <w:rFonts w:ascii="宋体" w:hAnsi="宋体" w:cs="宋体"/>
                <w:sz w:val="24"/>
                <w:szCs w:val="24"/>
              </w:rPr>
              <w:t>季度/年度标准模板医院运营分析报告</w:t>
            </w:r>
            <w:r>
              <w:rPr>
                <w:rFonts w:hint="eastAsia" w:ascii="宋体" w:hAnsi="宋体" w:cs="宋体"/>
                <w:sz w:val="24"/>
                <w:szCs w:val="24"/>
              </w:rPr>
              <w:t>》</w:t>
            </w:r>
          </w:p>
        </w:tc>
      </w:tr>
      <w:tr w14:paraId="7FAA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5D287253">
            <w:pPr>
              <w:jc w:val="center"/>
              <w:rPr>
                <w:rFonts w:hint="eastAsia" w:ascii="宋体" w:hAnsi="宋体" w:cs="宋体"/>
                <w:sz w:val="24"/>
                <w:szCs w:val="24"/>
              </w:rPr>
            </w:pPr>
            <w:r>
              <w:rPr>
                <w:rFonts w:ascii="宋体" w:hAnsi="宋体" w:cs="宋体"/>
                <w:sz w:val="24"/>
                <w:szCs w:val="24"/>
              </w:rPr>
              <w:t>2</w:t>
            </w:r>
          </w:p>
        </w:tc>
        <w:tc>
          <w:tcPr>
            <w:tcW w:w="930" w:type="pct"/>
            <w:vAlign w:val="center"/>
          </w:tcPr>
          <w:p w14:paraId="73B6CD9D">
            <w:pPr>
              <w:jc w:val="center"/>
              <w:rPr>
                <w:rFonts w:hint="eastAsia" w:ascii="宋体" w:hAnsi="宋体" w:cs="宋体"/>
                <w:sz w:val="24"/>
                <w:szCs w:val="24"/>
              </w:rPr>
            </w:pPr>
            <w:r>
              <w:rPr>
                <w:rFonts w:hint="eastAsia" w:ascii="宋体" w:hAnsi="宋体" w:cs="宋体"/>
                <w:sz w:val="24"/>
                <w:szCs w:val="24"/>
              </w:rPr>
              <w:t>区域标杆值分析服务</w:t>
            </w:r>
          </w:p>
        </w:tc>
        <w:tc>
          <w:tcPr>
            <w:tcW w:w="2626" w:type="pct"/>
            <w:vAlign w:val="center"/>
          </w:tcPr>
          <w:p w14:paraId="46FAFCB7">
            <w:pPr>
              <w:rPr>
                <w:rFonts w:hint="eastAsia" w:ascii="宋体" w:hAnsi="宋体" w:cs="宋体"/>
                <w:sz w:val="24"/>
                <w:szCs w:val="24"/>
              </w:rPr>
            </w:pPr>
            <w:r>
              <w:rPr>
                <w:rFonts w:hint="eastAsia" w:ascii="宋体" w:hAnsi="宋体" w:cs="宋体"/>
                <w:kern w:val="0"/>
                <w:sz w:val="24"/>
                <w:szCs w:val="24"/>
              </w:rPr>
              <w:t>结合区域标杆与院内标杆数据，设定控费目标，对比、提供病组以及在院病例的院内标杆、区域标杆及控费目标数据，展示病例数、次均结余、次均费用、平均住院日、次均药品费、药占比、次均耗材费、耗占比</w:t>
            </w:r>
            <w:r>
              <w:rPr>
                <w:rFonts w:ascii="宋体" w:hAnsi="宋体" w:cs="宋体"/>
                <w:kern w:val="0"/>
                <w:sz w:val="24"/>
                <w:szCs w:val="24"/>
              </w:rPr>
              <w:t>、次均医疗服务收入、医疗服务收入占比、次均医技费、医技费占比</w:t>
            </w:r>
            <w:r>
              <w:rPr>
                <w:rFonts w:hint="eastAsia" w:ascii="宋体" w:hAnsi="宋体" w:cs="宋体"/>
                <w:kern w:val="0"/>
                <w:sz w:val="24"/>
                <w:szCs w:val="24"/>
              </w:rPr>
              <w:t>等指标，协助医院定位、分析所属区域情况。</w:t>
            </w:r>
          </w:p>
        </w:tc>
        <w:tc>
          <w:tcPr>
            <w:tcW w:w="990" w:type="pct"/>
            <w:vAlign w:val="center"/>
          </w:tcPr>
          <w:p w14:paraId="25BDDBEA">
            <w:pPr>
              <w:rPr>
                <w:rFonts w:hint="eastAsia" w:ascii="宋体" w:hAnsi="宋体" w:cs="宋体"/>
                <w:sz w:val="24"/>
                <w:szCs w:val="24"/>
              </w:rPr>
            </w:pPr>
            <w:r>
              <w:rPr>
                <w:rFonts w:hint="eastAsia" w:ascii="宋体" w:hAnsi="宋体" w:cs="宋体"/>
                <w:sz w:val="24"/>
                <w:szCs w:val="24"/>
              </w:rPr>
              <w:t>《区域</w:t>
            </w:r>
            <w:r>
              <w:rPr>
                <w:rFonts w:ascii="宋体" w:hAnsi="宋体" w:cs="宋体"/>
                <w:sz w:val="24"/>
                <w:szCs w:val="24"/>
              </w:rPr>
              <w:t>标杆</w:t>
            </w:r>
            <w:r>
              <w:rPr>
                <w:rFonts w:hint="eastAsia" w:ascii="宋体" w:hAnsi="宋体" w:cs="宋体"/>
                <w:sz w:val="24"/>
                <w:szCs w:val="24"/>
              </w:rPr>
              <w:t>分析报告》</w:t>
            </w:r>
          </w:p>
        </w:tc>
      </w:tr>
      <w:tr w14:paraId="4085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44882B43">
            <w:pPr>
              <w:jc w:val="center"/>
              <w:rPr>
                <w:rFonts w:hint="eastAsia" w:ascii="宋体" w:hAnsi="宋体" w:cs="宋体"/>
                <w:sz w:val="24"/>
                <w:szCs w:val="24"/>
              </w:rPr>
            </w:pPr>
            <w:r>
              <w:rPr>
                <w:rFonts w:ascii="宋体" w:hAnsi="宋体" w:cs="宋体"/>
                <w:sz w:val="24"/>
                <w:szCs w:val="24"/>
              </w:rPr>
              <w:t>3</w:t>
            </w:r>
          </w:p>
        </w:tc>
        <w:tc>
          <w:tcPr>
            <w:tcW w:w="930" w:type="pct"/>
            <w:vAlign w:val="center"/>
          </w:tcPr>
          <w:p w14:paraId="36F0813B">
            <w:pPr>
              <w:jc w:val="center"/>
              <w:rPr>
                <w:rFonts w:hint="eastAsia" w:ascii="宋体" w:hAnsi="宋体" w:cs="宋体"/>
                <w:sz w:val="24"/>
                <w:szCs w:val="24"/>
              </w:rPr>
            </w:pPr>
            <w:r>
              <w:rPr>
                <w:rFonts w:hint="eastAsia" w:ascii="宋体" w:hAnsi="宋体" w:cs="宋体"/>
                <w:sz w:val="24"/>
                <w:szCs w:val="24"/>
              </w:rPr>
              <w:t>定制化报表分析服务</w:t>
            </w:r>
          </w:p>
        </w:tc>
        <w:tc>
          <w:tcPr>
            <w:tcW w:w="2626" w:type="pct"/>
            <w:vAlign w:val="center"/>
          </w:tcPr>
          <w:p w14:paraId="439A90BF">
            <w:pPr>
              <w:rPr>
                <w:rFonts w:hint="eastAsia" w:ascii="宋体" w:hAnsi="宋体" w:cs="宋体"/>
                <w:sz w:val="24"/>
                <w:szCs w:val="24"/>
              </w:rPr>
            </w:pPr>
            <w:r>
              <w:rPr>
                <w:rFonts w:hint="eastAsia" w:ascii="宋体" w:hAnsi="宋体" w:cs="宋体"/>
                <w:sz w:val="24"/>
                <w:szCs w:val="24"/>
              </w:rPr>
              <w:t>及时响应医院个性化数据分析需求，提供</w:t>
            </w:r>
            <w:r>
              <w:rPr>
                <w:rFonts w:ascii="宋体" w:hAnsi="宋体" w:cs="宋体"/>
                <w:sz w:val="24"/>
                <w:szCs w:val="24"/>
              </w:rPr>
              <w:t>报表</w:t>
            </w:r>
            <w:r>
              <w:rPr>
                <w:rFonts w:hint="eastAsia" w:ascii="宋体" w:hAnsi="宋体" w:cs="宋体"/>
                <w:sz w:val="24"/>
                <w:szCs w:val="24"/>
              </w:rPr>
              <w:t>集成</w:t>
            </w:r>
            <w:r>
              <w:rPr>
                <w:rFonts w:ascii="宋体" w:hAnsi="宋体" w:cs="宋体"/>
                <w:sz w:val="24"/>
                <w:szCs w:val="24"/>
              </w:rPr>
              <w:t>工具，支持相关业务统计报表的</w:t>
            </w:r>
            <w:r>
              <w:rPr>
                <w:rFonts w:hint="eastAsia" w:ascii="宋体" w:hAnsi="宋体" w:cs="宋体"/>
                <w:sz w:val="24"/>
                <w:szCs w:val="24"/>
              </w:rPr>
              <w:t>定制化</w:t>
            </w:r>
            <w:r>
              <w:rPr>
                <w:rFonts w:ascii="宋体" w:hAnsi="宋体" w:cs="宋体"/>
                <w:sz w:val="24"/>
                <w:szCs w:val="24"/>
              </w:rPr>
              <w:t>编写</w:t>
            </w:r>
            <w:r>
              <w:rPr>
                <w:rFonts w:hint="eastAsia" w:ascii="宋体" w:hAnsi="宋体" w:cs="宋体"/>
                <w:sz w:val="24"/>
                <w:szCs w:val="24"/>
              </w:rPr>
              <w:t>、</w:t>
            </w:r>
            <w:r>
              <w:rPr>
                <w:rFonts w:ascii="宋体" w:hAnsi="宋体" w:cs="宋体"/>
                <w:sz w:val="24"/>
                <w:szCs w:val="24"/>
              </w:rPr>
              <w:t>制作</w:t>
            </w:r>
            <w:r>
              <w:rPr>
                <w:rFonts w:hint="eastAsia" w:ascii="宋体" w:hAnsi="宋体" w:cs="宋体"/>
                <w:sz w:val="24"/>
                <w:szCs w:val="24"/>
              </w:rPr>
              <w:t>。</w:t>
            </w:r>
          </w:p>
        </w:tc>
        <w:tc>
          <w:tcPr>
            <w:tcW w:w="990" w:type="pct"/>
            <w:vAlign w:val="center"/>
          </w:tcPr>
          <w:p w14:paraId="1BAFC0D6">
            <w:pPr>
              <w:rPr>
                <w:rFonts w:hint="eastAsia" w:ascii="宋体" w:hAnsi="宋体" w:cs="宋体"/>
                <w:sz w:val="24"/>
                <w:szCs w:val="24"/>
              </w:rPr>
            </w:pPr>
            <w:r>
              <w:rPr>
                <w:rFonts w:hint="eastAsia" w:ascii="宋体" w:hAnsi="宋体" w:cs="宋体"/>
                <w:sz w:val="24"/>
                <w:szCs w:val="24"/>
              </w:rPr>
              <w:t>《个性化分析报表》</w:t>
            </w:r>
          </w:p>
        </w:tc>
      </w:tr>
    </w:tbl>
    <w:p w14:paraId="5FE109A8"/>
    <w:p w14:paraId="573C6306">
      <w:pPr>
        <w:pStyle w:val="6"/>
        <w:numPr>
          <w:ilvl w:val="3"/>
          <w:numId w:val="0"/>
        </w:numPr>
        <w:ind w:left="0" w:firstLine="0"/>
        <w:rPr>
          <w:rFonts w:hint="eastAsia" w:eastAsiaTheme="majorEastAsia"/>
          <w:lang w:val="en-US" w:eastAsia="zh-CN"/>
        </w:rPr>
      </w:pPr>
      <w:r>
        <w:rPr>
          <w:rFonts w:hint="eastAsia"/>
          <w:lang w:val="en-US" w:eastAsia="zh-CN"/>
        </w:rPr>
        <w:t>4.</w:t>
      </w:r>
      <w:r>
        <w:t>咨询培训</w:t>
      </w:r>
      <w:r>
        <w:rPr>
          <w:rFonts w:hint="eastAsia"/>
          <w:lang w:val="en-US" w:eastAsia="zh-CN"/>
        </w:rPr>
        <w:t>服务</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399"/>
        <w:gridCol w:w="4981"/>
        <w:gridCol w:w="1290"/>
        <w:tblGridChange w:id="1">
          <w:tblGrid>
            <w:gridCol w:w="825"/>
            <w:gridCol w:w="24"/>
            <w:gridCol w:w="1338"/>
            <w:gridCol w:w="61"/>
            <w:gridCol w:w="4981"/>
            <w:gridCol w:w="1290"/>
          </w:tblGrid>
        </w:tblGridChange>
      </w:tblGrid>
      <w:tr w14:paraId="7BE6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tcBorders>
              <w:top w:val="single" w:color="auto" w:sz="4" w:space="0"/>
              <w:left w:val="single" w:color="auto" w:sz="4" w:space="0"/>
              <w:bottom w:val="single" w:color="auto" w:sz="4" w:space="0"/>
              <w:right w:val="single" w:color="auto" w:sz="4" w:space="0"/>
            </w:tcBorders>
            <w:vAlign w:val="center"/>
          </w:tcPr>
          <w:p w14:paraId="42AFB3B9">
            <w:pPr>
              <w:jc w:val="center"/>
              <w:rPr>
                <w:rFonts w:hint="eastAsia" w:ascii="宋体" w:hAnsi="宋体" w:cs="宋体"/>
                <w:b/>
                <w:bCs/>
                <w:sz w:val="24"/>
                <w:szCs w:val="24"/>
              </w:rPr>
            </w:pPr>
            <w:r>
              <w:rPr>
                <w:rFonts w:hint="eastAsia" w:ascii="宋体" w:hAnsi="宋体" w:cs="宋体"/>
                <w:b/>
                <w:bCs/>
                <w:sz w:val="24"/>
                <w:szCs w:val="24"/>
                <w:lang w:bidi="ar"/>
              </w:rPr>
              <w:t>序号</w:t>
            </w:r>
          </w:p>
        </w:tc>
        <w:tc>
          <w:tcPr>
            <w:tcW w:w="821" w:type="pct"/>
            <w:tcBorders>
              <w:top w:val="single" w:color="auto" w:sz="4" w:space="0"/>
              <w:left w:val="single" w:color="auto" w:sz="4" w:space="0"/>
              <w:bottom w:val="single" w:color="auto" w:sz="4" w:space="0"/>
              <w:right w:val="single" w:color="auto" w:sz="4" w:space="0"/>
            </w:tcBorders>
            <w:vAlign w:val="center"/>
          </w:tcPr>
          <w:p w14:paraId="698E922D">
            <w:pPr>
              <w:jc w:val="center"/>
              <w:rPr>
                <w:rFonts w:hint="eastAsia" w:ascii="宋体" w:hAnsi="宋体" w:cs="宋体"/>
                <w:b/>
                <w:bCs/>
                <w:sz w:val="24"/>
                <w:szCs w:val="24"/>
              </w:rPr>
            </w:pPr>
            <w:r>
              <w:rPr>
                <w:rFonts w:hint="eastAsia" w:ascii="宋体" w:hAnsi="宋体" w:cs="宋体"/>
                <w:b/>
                <w:bCs/>
                <w:sz w:val="24"/>
                <w:szCs w:val="24"/>
                <w:lang w:bidi="ar"/>
              </w:rPr>
              <w:t>服务要求</w:t>
            </w:r>
          </w:p>
        </w:tc>
        <w:tc>
          <w:tcPr>
            <w:tcW w:w="2923" w:type="pct"/>
            <w:tcBorders>
              <w:top w:val="single" w:color="auto" w:sz="4" w:space="0"/>
              <w:left w:val="single" w:color="auto" w:sz="4" w:space="0"/>
              <w:bottom w:val="single" w:color="auto" w:sz="4" w:space="0"/>
              <w:right w:val="single" w:color="auto" w:sz="4" w:space="0"/>
            </w:tcBorders>
            <w:vAlign w:val="center"/>
          </w:tcPr>
          <w:p w14:paraId="1D8ABD9D">
            <w:pPr>
              <w:jc w:val="center"/>
              <w:rPr>
                <w:rFonts w:hint="eastAsia" w:ascii="宋体" w:hAnsi="宋体" w:cs="宋体"/>
                <w:b/>
                <w:bCs/>
                <w:sz w:val="24"/>
                <w:szCs w:val="24"/>
              </w:rPr>
            </w:pPr>
            <w:r>
              <w:rPr>
                <w:rFonts w:hint="eastAsia" w:ascii="宋体" w:hAnsi="宋体" w:cs="宋体"/>
                <w:b/>
                <w:bCs/>
                <w:sz w:val="24"/>
                <w:szCs w:val="24"/>
                <w:lang w:bidi="ar"/>
              </w:rPr>
              <w:t>服务内容</w:t>
            </w:r>
          </w:p>
        </w:tc>
        <w:tc>
          <w:tcPr>
            <w:tcW w:w="757" w:type="pct"/>
            <w:tcBorders>
              <w:top w:val="single" w:color="auto" w:sz="4" w:space="0"/>
              <w:left w:val="single" w:color="auto" w:sz="4" w:space="0"/>
              <w:bottom w:val="single" w:color="auto" w:sz="4" w:space="0"/>
              <w:right w:val="single" w:color="auto" w:sz="4" w:space="0"/>
            </w:tcBorders>
            <w:vAlign w:val="center"/>
          </w:tcPr>
          <w:p w14:paraId="6E98EDC6">
            <w:pPr>
              <w:jc w:val="center"/>
              <w:rPr>
                <w:rFonts w:hint="eastAsia" w:ascii="宋体" w:hAnsi="宋体" w:cs="宋体"/>
                <w:b/>
                <w:bCs/>
                <w:sz w:val="24"/>
                <w:szCs w:val="24"/>
              </w:rPr>
            </w:pPr>
            <w:r>
              <w:rPr>
                <w:rFonts w:hint="eastAsia" w:ascii="宋体" w:hAnsi="宋体" w:cs="宋体"/>
                <w:b/>
                <w:bCs/>
                <w:sz w:val="24"/>
                <w:szCs w:val="24"/>
                <w:lang w:bidi="ar"/>
              </w:rPr>
              <w:t>输出文档</w:t>
            </w:r>
          </w:p>
        </w:tc>
      </w:tr>
      <w:tr w14:paraId="30B2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tcBorders>
              <w:top w:val="single" w:color="auto" w:sz="4" w:space="0"/>
              <w:left w:val="single" w:color="auto" w:sz="4" w:space="0"/>
              <w:bottom w:val="single" w:color="auto" w:sz="4" w:space="0"/>
              <w:right w:val="single" w:color="auto" w:sz="4" w:space="0"/>
            </w:tcBorders>
            <w:vAlign w:val="center"/>
          </w:tcPr>
          <w:p w14:paraId="5D4290D3">
            <w:pPr>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lang w:bidi="ar"/>
              </w:rPr>
              <w:t>1</w:t>
            </w:r>
          </w:p>
        </w:tc>
        <w:tc>
          <w:tcPr>
            <w:tcW w:w="821" w:type="pct"/>
            <w:tcBorders>
              <w:top w:val="single" w:color="auto" w:sz="4" w:space="0"/>
              <w:left w:val="single" w:color="auto" w:sz="4" w:space="0"/>
              <w:bottom w:val="single" w:color="auto" w:sz="4" w:space="0"/>
              <w:right w:val="single" w:color="auto" w:sz="4" w:space="0"/>
            </w:tcBorders>
            <w:vAlign w:val="center"/>
          </w:tcPr>
          <w:p w14:paraId="5DBAD0E2">
            <w:pPr>
              <w:jc w:val="center"/>
              <w:rPr>
                <w:rFonts w:hint="eastAsia" w:ascii="宋体" w:hAnsi="宋体" w:cs="宋体"/>
                <w:sz w:val="24"/>
                <w:szCs w:val="24"/>
              </w:rPr>
            </w:pPr>
            <w:r>
              <w:rPr>
                <w:rFonts w:hint="eastAsia" w:ascii="宋体" w:hAnsi="宋体" w:cs="宋体"/>
                <w:sz w:val="24"/>
                <w:szCs w:val="24"/>
                <w:lang w:bidi="ar"/>
              </w:rPr>
              <w:t>平台培训服务</w:t>
            </w:r>
          </w:p>
        </w:tc>
        <w:tc>
          <w:tcPr>
            <w:tcW w:w="2923" w:type="pct"/>
            <w:tcBorders>
              <w:top w:val="single" w:color="auto" w:sz="4" w:space="0"/>
              <w:left w:val="single" w:color="auto" w:sz="4" w:space="0"/>
              <w:bottom w:val="single" w:color="auto" w:sz="4" w:space="0"/>
              <w:right w:val="single" w:color="auto" w:sz="4" w:space="0"/>
            </w:tcBorders>
            <w:vAlign w:val="center"/>
          </w:tcPr>
          <w:p w14:paraId="62EC4CF5">
            <w:pPr>
              <w:rPr>
                <w:rFonts w:hint="eastAsia" w:ascii="宋体" w:hAnsi="宋体" w:cs="宋体"/>
                <w:sz w:val="24"/>
                <w:szCs w:val="24"/>
              </w:rPr>
            </w:pPr>
            <w:r>
              <w:rPr>
                <w:rFonts w:hint="eastAsia" w:ascii="宋体" w:hAnsi="宋体" w:cs="宋体"/>
                <w:sz w:val="24"/>
                <w:szCs w:val="24"/>
                <w:lang w:bidi="ar"/>
              </w:rPr>
              <w:t>建立</w:t>
            </w:r>
            <w:r>
              <w:rPr>
                <w:rFonts w:hint="eastAsia" w:ascii="宋体" w:hAnsi="宋体" w:cs="宋体"/>
                <w:sz w:val="24"/>
                <w:szCs w:val="24"/>
                <w:lang w:eastAsia="zh-CN" w:bidi="ar"/>
              </w:rPr>
              <w:t>DRGs</w:t>
            </w:r>
            <w:r>
              <w:rPr>
                <w:rFonts w:hint="eastAsia" w:ascii="宋体" w:hAnsi="宋体" w:cs="宋体"/>
                <w:sz w:val="24"/>
                <w:szCs w:val="24"/>
                <w:lang w:bidi="ar"/>
              </w:rPr>
              <w:t>专业学习平台，提供</w:t>
            </w:r>
            <w:r>
              <w:rPr>
                <w:rFonts w:hint="eastAsia" w:ascii="宋体" w:hAnsi="宋体" w:cs="宋体"/>
                <w:sz w:val="24"/>
                <w:szCs w:val="24"/>
                <w:lang w:eastAsia="zh-CN" w:bidi="ar"/>
              </w:rPr>
              <w:t>DRGs</w:t>
            </w:r>
            <w:r>
              <w:rPr>
                <w:rFonts w:hint="eastAsia" w:ascii="宋体" w:hAnsi="宋体" w:cs="宋体"/>
                <w:sz w:val="24"/>
                <w:szCs w:val="24"/>
                <w:lang w:bidi="ar"/>
              </w:rPr>
              <w:t>最新政策、行业专家、案例解析等学习内容，实时更新医院各需求部门行业信息提供培训服务。</w:t>
            </w:r>
          </w:p>
        </w:tc>
        <w:tc>
          <w:tcPr>
            <w:tcW w:w="757" w:type="pct"/>
            <w:tcBorders>
              <w:top w:val="single" w:color="auto" w:sz="4" w:space="0"/>
              <w:left w:val="single" w:color="auto" w:sz="4" w:space="0"/>
              <w:bottom w:val="single" w:color="auto" w:sz="4" w:space="0"/>
              <w:right w:val="single" w:color="auto" w:sz="4" w:space="0"/>
            </w:tcBorders>
            <w:vAlign w:val="center"/>
          </w:tcPr>
          <w:p w14:paraId="1E51518F">
            <w:pPr>
              <w:jc w:val="center"/>
              <w:rPr>
                <w:rFonts w:hint="eastAsia" w:ascii="宋体" w:hAnsi="宋体" w:cs="宋体"/>
                <w:sz w:val="24"/>
                <w:szCs w:val="24"/>
              </w:rPr>
            </w:pPr>
          </w:p>
        </w:tc>
      </w:tr>
      <w:tr w14:paraId="181F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tcBorders>
              <w:top w:val="single" w:color="auto" w:sz="4" w:space="0"/>
              <w:left w:val="single" w:color="auto" w:sz="4" w:space="0"/>
              <w:bottom w:val="single" w:color="auto" w:sz="4" w:space="0"/>
              <w:right w:val="single" w:color="auto" w:sz="4" w:space="0"/>
            </w:tcBorders>
            <w:vAlign w:val="center"/>
          </w:tcPr>
          <w:p w14:paraId="519AE8E4">
            <w:pPr>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lang w:bidi="ar"/>
              </w:rPr>
              <w:t>2</w:t>
            </w:r>
          </w:p>
        </w:tc>
        <w:tc>
          <w:tcPr>
            <w:tcW w:w="821" w:type="pct"/>
            <w:tcBorders>
              <w:top w:val="single" w:color="auto" w:sz="4" w:space="0"/>
              <w:left w:val="single" w:color="auto" w:sz="4" w:space="0"/>
              <w:bottom w:val="single" w:color="auto" w:sz="4" w:space="0"/>
              <w:right w:val="single" w:color="auto" w:sz="4" w:space="0"/>
            </w:tcBorders>
            <w:vAlign w:val="center"/>
          </w:tcPr>
          <w:p w14:paraId="3EE55F2D">
            <w:pPr>
              <w:jc w:val="center"/>
              <w:rPr>
                <w:rFonts w:hint="eastAsia" w:ascii="宋体" w:hAnsi="宋体" w:cs="宋体"/>
                <w:sz w:val="24"/>
                <w:szCs w:val="24"/>
              </w:rPr>
            </w:pPr>
            <w:r>
              <w:rPr>
                <w:rFonts w:hint="eastAsia" w:ascii="宋体" w:hAnsi="宋体" w:cs="宋体"/>
                <w:sz w:val="24"/>
                <w:szCs w:val="24"/>
                <w:shd w:val="clear" w:color="auto" w:fill="FFFFFF"/>
                <w:lang w:bidi="ar"/>
              </w:rPr>
              <w:t>专家咨询服务</w:t>
            </w:r>
          </w:p>
        </w:tc>
        <w:tc>
          <w:tcPr>
            <w:tcW w:w="2923" w:type="pct"/>
            <w:tcBorders>
              <w:top w:val="single" w:color="auto" w:sz="4" w:space="0"/>
              <w:left w:val="single" w:color="auto" w:sz="4" w:space="0"/>
              <w:bottom w:val="single" w:color="auto" w:sz="4" w:space="0"/>
              <w:right w:val="single" w:color="auto" w:sz="4" w:space="0"/>
            </w:tcBorders>
            <w:vAlign w:val="center"/>
          </w:tcPr>
          <w:p w14:paraId="00810DDB">
            <w:pPr>
              <w:rPr>
                <w:rFonts w:hint="eastAsia" w:ascii="宋体" w:hAnsi="宋体" w:cs="宋体"/>
                <w:sz w:val="24"/>
                <w:szCs w:val="24"/>
              </w:rPr>
            </w:pPr>
            <w:r>
              <w:rPr>
                <w:rFonts w:hint="eastAsia" w:ascii="宋体" w:hAnsi="宋体" w:cs="宋体"/>
                <w:sz w:val="24"/>
                <w:szCs w:val="24"/>
                <w:lang w:bidi="ar"/>
              </w:rPr>
              <w:t>根据医院需求，组织提供专业领域（如编码、医保结算、成本管理）专家咨询服务，帮助医院解决</w:t>
            </w:r>
            <w:r>
              <w:rPr>
                <w:rFonts w:hint="eastAsia" w:ascii="宋体" w:hAnsi="宋体" w:cs="宋体"/>
                <w:sz w:val="24"/>
                <w:szCs w:val="24"/>
                <w:lang w:eastAsia="zh-CN" w:bidi="ar"/>
              </w:rPr>
              <w:t>DRGs</w:t>
            </w:r>
            <w:r>
              <w:rPr>
                <w:rFonts w:hint="eastAsia" w:ascii="宋体" w:hAnsi="宋体" w:cs="宋体"/>
                <w:sz w:val="24"/>
                <w:szCs w:val="24"/>
                <w:lang w:bidi="ar"/>
              </w:rPr>
              <w:t>执行过程中的个性化难题。</w:t>
            </w:r>
          </w:p>
        </w:tc>
        <w:tc>
          <w:tcPr>
            <w:tcW w:w="757" w:type="pct"/>
            <w:tcBorders>
              <w:top w:val="single" w:color="auto" w:sz="4" w:space="0"/>
              <w:left w:val="single" w:color="auto" w:sz="4" w:space="0"/>
              <w:bottom w:val="single" w:color="auto" w:sz="4" w:space="0"/>
              <w:right w:val="single" w:color="auto" w:sz="4" w:space="0"/>
            </w:tcBorders>
            <w:vAlign w:val="center"/>
          </w:tcPr>
          <w:p w14:paraId="71FD2920">
            <w:pPr>
              <w:jc w:val="center"/>
              <w:rPr>
                <w:rFonts w:hint="eastAsia" w:ascii="宋体" w:hAnsi="宋体" w:cs="宋体"/>
                <w:sz w:val="24"/>
                <w:szCs w:val="24"/>
              </w:rPr>
            </w:pPr>
          </w:p>
        </w:tc>
      </w:tr>
      <w:tr w14:paraId="5667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tcBorders>
              <w:top w:val="single" w:color="auto" w:sz="4" w:space="0"/>
              <w:left w:val="single" w:color="auto" w:sz="4" w:space="0"/>
              <w:bottom w:val="single" w:color="auto" w:sz="4" w:space="0"/>
              <w:right w:val="single" w:color="auto" w:sz="4" w:space="0"/>
            </w:tcBorders>
            <w:vAlign w:val="center"/>
          </w:tcPr>
          <w:p w14:paraId="13708B10">
            <w:pPr>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lang w:bidi="ar"/>
              </w:rPr>
              <w:t>3</w:t>
            </w:r>
          </w:p>
        </w:tc>
        <w:tc>
          <w:tcPr>
            <w:tcW w:w="821" w:type="pct"/>
            <w:tcBorders>
              <w:top w:val="single" w:color="auto" w:sz="4" w:space="0"/>
              <w:left w:val="single" w:color="auto" w:sz="4" w:space="0"/>
              <w:bottom w:val="single" w:color="auto" w:sz="4" w:space="0"/>
              <w:right w:val="single" w:color="auto" w:sz="4" w:space="0"/>
            </w:tcBorders>
            <w:vAlign w:val="center"/>
          </w:tcPr>
          <w:p w14:paraId="5F939D28">
            <w:pPr>
              <w:jc w:val="center"/>
              <w:rPr>
                <w:rFonts w:hint="eastAsia" w:ascii="宋体" w:hAnsi="宋体" w:cs="宋体"/>
                <w:sz w:val="24"/>
                <w:szCs w:val="24"/>
              </w:rPr>
            </w:pPr>
            <w:r>
              <w:rPr>
                <w:rFonts w:hint="eastAsia" w:ascii="宋体" w:hAnsi="宋体" w:cs="宋体"/>
                <w:sz w:val="24"/>
                <w:szCs w:val="24"/>
                <w:shd w:val="clear" w:color="auto" w:fill="FFFFFF"/>
                <w:lang w:bidi="ar"/>
              </w:rPr>
              <w:t>入院辅导服务</w:t>
            </w:r>
          </w:p>
        </w:tc>
        <w:tc>
          <w:tcPr>
            <w:tcW w:w="2923" w:type="pct"/>
            <w:tcBorders>
              <w:top w:val="single" w:color="auto" w:sz="4" w:space="0"/>
              <w:left w:val="single" w:color="auto" w:sz="4" w:space="0"/>
              <w:bottom w:val="single" w:color="auto" w:sz="4" w:space="0"/>
              <w:right w:val="single" w:color="auto" w:sz="4" w:space="0"/>
            </w:tcBorders>
            <w:vAlign w:val="center"/>
          </w:tcPr>
          <w:p w14:paraId="3D00F826">
            <w:pPr>
              <w:rPr>
                <w:rFonts w:hint="eastAsia" w:ascii="宋体" w:hAnsi="宋体" w:cs="宋体"/>
                <w:sz w:val="24"/>
                <w:szCs w:val="24"/>
              </w:rPr>
            </w:pPr>
            <w:r>
              <w:rPr>
                <w:rFonts w:hint="eastAsia" w:ascii="宋体" w:hAnsi="宋体" w:cs="宋体"/>
                <w:sz w:val="24"/>
                <w:szCs w:val="24"/>
                <w:lang w:bidi="ar"/>
              </w:rPr>
              <w:t>根据医院实际需求，搭建多层次交流组织架构，定期提供专业领域（如编码、医保结算、成本管理）专家入院辅导、见面交流，并进行一对一座谈答疑服务。</w:t>
            </w:r>
          </w:p>
        </w:tc>
        <w:tc>
          <w:tcPr>
            <w:tcW w:w="757" w:type="pct"/>
            <w:tcBorders>
              <w:top w:val="single" w:color="auto" w:sz="4" w:space="0"/>
              <w:left w:val="single" w:color="auto" w:sz="4" w:space="0"/>
              <w:bottom w:val="single" w:color="auto" w:sz="4" w:space="0"/>
              <w:right w:val="single" w:color="auto" w:sz="4" w:space="0"/>
            </w:tcBorders>
            <w:vAlign w:val="center"/>
          </w:tcPr>
          <w:p w14:paraId="693CA3DE">
            <w:pPr>
              <w:jc w:val="center"/>
              <w:rPr>
                <w:rFonts w:hint="eastAsia" w:ascii="宋体" w:hAnsi="宋体" w:cs="宋体"/>
                <w:sz w:val="24"/>
                <w:szCs w:val="24"/>
              </w:rPr>
            </w:pPr>
          </w:p>
        </w:tc>
      </w:tr>
      <w:tr w14:paraId="29B2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tcBorders>
              <w:top w:val="single" w:color="auto" w:sz="4" w:space="0"/>
              <w:left w:val="single" w:color="auto" w:sz="4" w:space="0"/>
              <w:bottom w:val="single" w:color="auto" w:sz="4" w:space="0"/>
              <w:right w:val="single" w:color="auto" w:sz="4" w:space="0"/>
            </w:tcBorders>
            <w:vAlign w:val="center"/>
          </w:tcPr>
          <w:p w14:paraId="57301818">
            <w:pPr>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lang w:bidi="ar"/>
              </w:rPr>
              <w:t>4</w:t>
            </w:r>
          </w:p>
        </w:tc>
        <w:tc>
          <w:tcPr>
            <w:tcW w:w="821" w:type="pct"/>
            <w:tcBorders>
              <w:top w:val="single" w:color="auto" w:sz="4" w:space="0"/>
              <w:left w:val="single" w:color="auto" w:sz="4" w:space="0"/>
              <w:bottom w:val="single" w:color="auto" w:sz="4" w:space="0"/>
              <w:right w:val="single" w:color="auto" w:sz="4" w:space="0"/>
            </w:tcBorders>
            <w:vAlign w:val="center"/>
          </w:tcPr>
          <w:p w14:paraId="6B19466E">
            <w:pPr>
              <w:jc w:val="center"/>
              <w:rPr>
                <w:rFonts w:hint="eastAsia" w:ascii="宋体" w:hAnsi="宋体" w:cs="宋体"/>
                <w:sz w:val="24"/>
                <w:szCs w:val="24"/>
              </w:rPr>
            </w:pPr>
            <w:r>
              <w:rPr>
                <w:rFonts w:hint="eastAsia" w:ascii="宋体" w:hAnsi="宋体" w:cs="宋体"/>
                <w:sz w:val="24"/>
                <w:szCs w:val="24"/>
                <w:shd w:val="clear" w:color="auto" w:fill="FFFFFF"/>
                <w:lang w:bidi="ar"/>
              </w:rPr>
              <w:t>同行交流服务</w:t>
            </w:r>
          </w:p>
        </w:tc>
        <w:tc>
          <w:tcPr>
            <w:tcW w:w="2923" w:type="pct"/>
            <w:tcBorders>
              <w:top w:val="single" w:color="auto" w:sz="4" w:space="0"/>
              <w:left w:val="single" w:color="auto" w:sz="4" w:space="0"/>
              <w:bottom w:val="single" w:color="auto" w:sz="4" w:space="0"/>
              <w:right w:val="single" w:color="auto" w:sz="4" w:space="0"/>
            </w:tcBorders>
            <w:vAlign w:val="center"/>
          </w:tcPr>
          <w:p w14:paraId="43AFD183">
            <w:pPr>
              <w:rPr>
                <w:rFonts w:hint="eastAsia" w:ascii="宋体" w:hAnsi="宋体" w:cs="宋体"/>
                <w:sz w:val="24"/>
                <w:szCs w:val="24"/>
              </w:rPr>
            </w:pPr>
            <w:r>
              <w:rPr>
                <w:rFonts w:hint="eastAsia" w:ascii="宋体" w:hAnsi="宋体" w:cs="宋体"/>
                <w:sz w:val="24"/>
                <w:szCs w:val="24"/>
                <w:lang w:val="en-US" w:eastAsia="zh-CN" w:bidi="ar"/>
              </w:rPr>
              <w:t>可</w:t>
            </w:r>
            <w:r>
              <w:rPr>
                <w:rFonts w:hint="eastAsia" w:ascii="宋体" w:hAnsi="宋体" w:cs="宋体"/>
                <w:sz w:val="24"/>
                <w:szCs w:val="24"/>
                <w:lang w:bidi="ar"/>
              </w:rPr>
              <w:t>组织提供卫健委、医管局以及行业内专业人员沟通交流机会，解读</w:t>
            </w:r>
            <w:r>
              <w:rPr>
                <w:rFonts w:hint="eastAsia" w:ascii="宋体" w:hAnsi="宋体" w:cs="宋体"/>
                <w:sz w:val="24"/>
                <w:szCs w:val="24"/>
                <w:lang w:eastAsia="zh-CN" w:bidi="ar"/>
              </w:rPr>
              <w:t>DRGs</w:t>
            </w:r>
            <w:r>
              <w:rPr>
                <w:rFonts w:hint="eastAsia" w:ascii="宋体" w:hAnsi="宋体" w:cs="宋体"/>
                <w:sz w:val="24"/>
                <w:szCs w:val="24"/>
                <w:lang w:bidi="ar"/>
              </w:rPr>
              <w:t>支付改革方向，分享区域内医院绩效对比数据（如分组准确率、费用控制率），标杆医院展示精细化管理案例（如临床路径与</w:t>
            </w:r>
            <w:r>
              <w:rPr>
                <w:rFonts w:hint="eastAsia" w:ascii="宋体" w:hAnsi="宋体" w:cs="宋体"/>
                <w:sz w:val="24"/>
                <w:szCs w:val="24"/>
                <w:lang w:eastAsia="zh-CN" w:bidi="ar"/>
              </w:rPr>
              <w:t>DRGs</w:t>
            </w:r>
            <w:r>
              <w:rPr>
                <w:rFonts w:hint="eastAsia" w:ascii="宋体" w:hAnsi="宋体" w:cs="宋体"/>
                <w:sz w:val="24"/>
                <w:szCs w:val="24"/>
                <w:lang w:bidi="ar"/>
              </w:rPr>
              <w:t>分组的匹配优化）,促进</w:t>
            </w:r>
            <w:r>
              <w:rPr>
                <w:rFonts w:hint="eastAsia" w:ascii="宋体" w:hAnsi="宋体" w:cs="宋体"/>
                <w:sz w:val="24"/>
                <w:szCs w:val="24"/>
                <w:lang w:eastAsia="zh-CN" w:bidi="ar"/>
              </w:rPr>
              <w:t>DRGs</w:t>
            </w:r>
            <w:r>
              <w:rPr>
                <w:rFonts w:hint="eastAsia" w:ascii="宋体" w:hAnsi="宋体" w:cs="宋体"/>
                <w:sz w:val="24"/>
                <w:szCs w:val="24"/>
                <w:lang w:bidi="ar"/>
              </w:rPr>
              <w:t>院端管理实践经验落地。</w:t>
            </w:r>
          </w:p>
        </w:tc>
        <w:tc>
          <w:tcPr>
            <w:tcW w:w="757" w:type="pct"/>
            <w:tcBorders>
              <w:top w:val="single" w:color="auto" w:sz="4" w:space="0"/>
              <w:left w:val="single" w:color="auto" w:sz="4" w:space="0"/>
              <w:bottom w:val="single" w:color="auto" w:sz="4" w:space="0"/>
              <w:right w:val="single" w:color="auto" w:sz="4" w:space="0"/>
            </w:tcBorders>
            <w:vAlign w:val="center"/>
          </w:tcPr>
          <w:p w14:paraId="4B0569A1">
            <w:pPr>
              <w:jc w:val="center"/>
              <w:rPr>
                <w:rFonts w:hint="eastAsia" w:ascii="宋体" w:hAnsi="宋体" w:cs="宋体"/>
                <w:sz w:val="24"/>
                <w:szCs w:val="24"/>
              </w:rPr>
            </w:pPr>
          </w:p>
        </w:tc>
      </w:tr>
      <w:tr w14:paraId="7EA8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tcBorders>
              <w:top w:val="single" w:color="auto" w:sz="4" w:space="0"/>
              <w:left w:val="single" w:color="auto" w:sz="4" w:space="0"/>
              <w:bottom w:val="single" w:color="auto" w:sz="4" w:space="0"/>
              <w:right w:val="single" w:color="auto" w:sz="4" w:space="0"/>
            </w:tcBorders>
            <w:vAlign w:val="center"/>
          </w:tcPr>
          <w:p w14:paraId="2FA55F7E">
            <w:pPr>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lang w:bidi="ar"/>
              </w:rPr>
              <w:t>5</w:t>
            </w:r>
          </w:p>
        </w:tc>
        <w:tc>
          <w:tcPr>
            <w:tcW w:w="821" w:type="pct"/>
            <w:tcBorders>
              <w:top w:val="single" w:color="auto" w:sz="4" w:space="0"/>
              <w:left w:val="single" w:color="auto" w:sz="4" w:space="0"/>
              <w:bottom w:val="single" w:color="auto" w:sz="4" w:space="0"/>
              <w:right w:val="single" w:color="auto" w:sz="4" w:space="0"/>
            </w:tcBorders>
            <w:vAlign w:val="center"/>
          </w:tcPr>
          <w:p w14:paraId="764D38FD">
            <w:pPr>
              <w:jc w:val="center"/>
              <w:rPr>
                <w:rFonts w:hint="eastAsia" w:ascii="宋体" w:hAnsi="宋体" w:cs="宋体"/>
                <w:sz w:val="24"/>
                <w:szCs w:val="24"/>
                <w:shd w:val="clear" w:color="auto" w:fill="FFFFFF"/>
              </w:rPr>
            </w:pPr>
            <w:r>
              <w:rPr>
                <w:rFonts w:hint="eastAsia" w:ascii="宋体" w:hAnsi="宋体" w:cs="宋体"/>
                <w:sz w:val="24"/>
                <w:szCs w:val="24"/>
                <w:lang w:bidi="ar"/>
              </w:rPr>
              <w:t>专业答疑服务</w:t>
            </w:r>
          </w:p>
        </w:tc>
        <w:tc>
          <w:tcPr>
            <w:tcW w:w="2923" w:type="pct"/>
            <w:tcBorders>
              <w:top w:val="single" w:color="auto" w:sz="4" w:space="0"/>
              <w:left w:val="single" w:color="auto" w:sz="4" w:space="0"/>
              <w:bottom w:val="single" w:color="auto" w:sz="4" w:space="0"/>
              <w:right w:val="single" w:color="auto" w:sz="4" w:space="0"/>
            </w:tcBorders>
            <w:vAlign w:val="center"/>
          </w:tcPr>
          <w:p w14:paraId="0B904869">
            <w:pPr>
              <w:rPr>
                <w:rFonts w:hint="eastAsia" w:ascii="宋体" w:hAnsi="宋体" w:cs="宋体"/>
                <w:sz w:val="24"/>
                <w:szCs w:val="24"/>
              </w:rPr>
            </w:pPr>
            <w:r>
              <w:rPr>
                <w:rFonts w:hint="eastAsia" w:ascii="宋体" w:hAnsi="宋体" w:cs="宋体"/>
                <w:sz w:val="24"/>
                <w:szCs w:val="24"/>
                <w:lang w:bidi="ar"/>
              </w:rPr>
              <w:t>配置专业</w:t>
            </w:r>
            <w:r>
              <w:rPr>
                <w:rFonts w:hint="eastAsia" w:ascii="宋体" w:hAnsi="宋体" w:cs="宋体"/>
                <w:kern w:val="0"/>
                <w:sz w:val="24"/>
                <w:szCs w:val="24"/>
                <w:lang w:bidi="ar"/>
              </w:rPr>
              <w:t>大数据及医学团队，团队人员具有计算机、医学等专业技术资格，提供日常</w:t>
            </w:r>
            <w:r>
              <w:rPr>
                <w:rFonts w:hint="eastAsia" w:ascii="宋体" w:hAnsi="宋体" w:cs="宋体"/>
                <w:sz w:val="24"/>
                <w:szCs w:val="24"/>
                <w:lang w:bidi="ar"/>
              </w:rPr>
              <w:t>分组规则答疑、病案规则答疑、政策咨询答疑等相关专业答疑服务。</w:t>
            </w:r>
          </w:p>
        </w:tc>
        <w:tc>
          <w:tcPr>
            <w:tcW w:w="757" w:type="pct"/>
            <w:tcBorders>
              <w:top w:val="single" w:color="auto" w:sz="4" w:space="0"/>
              <w:left w:val="single" w:color="auto" w:sz="4" w:space="0"/>
              <w:bottom w:val="single" w:color="auto" w:sz="4" w:space="0"/>
              <w:right w:val="single" w:color="auto" w:sz="4" w:space="0"/>
            </w:tcBorders>
            <w:vAlign w:val="center"/>
          </w:tcPr>
          <w:p w14:paraId="3936996B">
            <w:pPr>
              <w:jc w:val="center"/>
              <w:rPr>
                <w:rFonts w:hint="eastAsia" w:ascii="宋体" w:hAnsi="宋体" w:cs="宋体"/>
                <w:sz w:val="24"/>
                <w:szCs w:val="24"/>
              </w:rPr>
            </w:pPr>
          </w:p>
        </w:tc>
      </w:tr>
      <w:tr w14:paraId="2432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tcBorders>
              <w:top w:val="single" w:color="auto" w:sz="4" w:space="0"/>
              <w:left w:val="single" w:color="auto" w:sz="4" w:space="0"/>
              <w:bottom w:val="single" w:color="auto" w:sz="4" w:space="0"/>
              <w:right w:val="single" w:color="auto" w:sz="4" w:space="0"/>
            </w:tcBorders>
            <w:vAlign w:val="center"/>
          </w:tcPr>
          <w:p w14:paraId="20DCE918">
            <w:pPr>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lang w:bidi="ar"/>
              </w:rPr>
              <w:t>6</w:t>
            </w:r>
          </w:p>
        </w:tc>
        <w:tc>
          <w:tcPr>
            <w:tcW w:w="821" w:type="pct"/>
            <w:tcBorders>
              <w:top w:val="single" w:color="auto" w:sz="4" w:space="0"/>
              <w:left w:val="single" w:color="auto" w:sz="4" w:space="0"/>
              <w:bottom w:val="single" w:color="auto" w:sz="4" w:space="0"/>
              <w:right w:val="single" w:color="auto" w:sz="4" w:space="0"/>
            </w:tcBorders>
            <w:vAlign w:val="center"/>
          </w:tcPr>
          <w:p w14:paraId="55E6EEA5">
            <w:pPr>
              <w:autoSpaceDE w:val="0"/>
              <w:jc w:val="center"/>
              <w:textAlignment w:val="top"/>
              <w:rPr>
                <w:rFonts w:hint="eastAsia" w:ascii="宋体" w:hAnsi="宋体" w:cs="宋体"/>
                <w:color w:val="000000"/>
                <w:kern w:val="0"/>
                <w:sz w:val="24"/>
                <w:szCs w:val="24"/>
              </w:rPr>
            </w:pPr>
            <w:r>
              <w:rPr>
                <w:rFonts w:hint="eastAsia" w:ascii="宋体" w:hAnsi="宋体" w:cs="宋体"/>
                <w:color w:val="000000"/>
                <w:kern w:val="0"/>
                <w:sz w:val="24"/>
                <w:szCs w:val="24"/>
                <w:lang w:bidi="ar"/>
              </w:rPr>
              <w:t>日常培训服务</w:t>
            </w:r>
          </w:p>
        </w:tc>
        <w:tc>
          <w:tcPr>
            <w:tcW w:w="2923" w:type="pct"/>
            <w:tcBorders>
              <w:top w:val="single" w:color="auto" w:sz="4" w:space="0"/>
              <w:left w:val="single" w:color="auto" w:sz="4" w:space="0"/>
              <w:bottom w:val="single" w:color="auto" w:sz="4" w:space="0"/>
              <w:right w:val="single" w:color="auto" w:sz="4" w:space="0"/>
            </w:tcBorders>
            <w:vAlign w:val="center"/>
          </w:tcPr>
          <w:p w14:paraId="175E213C">
            <w:pPr>
              <w:autoSpaceDE w:val="0"/>
              <w:textAlignment w:val="top"/>
              <w:rPr>
                <w:rFonts w:hint="eastAsia" w:ascii="宋体" w:hAnsi="宋体" w:cs="宋体"/>
                <w:color w:val="000000"/>
                <w:kern w:val="0"/>
                <w:sz w:val="24"/>
                <w:szCs w:val="24"/>
              </w:rPr>
            </w:pPr>
            <w:r>
              <w:rPr>
                <w:rFonts w:hint="eastAsia" w:ascii="宋体" w:hAnsi="宋体" w:cs="宋体"/>
                <w:color w:val="000000"/>
                <w:kern w:val="0"/>
                <w:sz w:val="24"/>
                <w:szCs w:val="24"/>
                <w:lang w:bidi="ar"/>
              </w:rPr>
              <w:t>针对规则库升级以及政策更新的内容，为医院相关部门提供培训服务。</w:t>
            </w:r>
          </w:p>
        </w:tc>
        <w:tc>
          <w:tcPr>
            <w:tcW w:w="757" w:type="pct"/>
            <w:tcBorders>
              <w:top w:val="single" w:color="auto" w:sz="4" w:space="0"/>
              <w:left w:val="single" w:color="auto" w:sz="4" w:space="0"/>
              <w:bottom w:val="single" w:color="auto" w:sz="4" w:space="0"/>
              <w:right w:val="single" w:color="auto" w:sz="4" w:space="0"/>
            </w:tcBorders>
            <w:vAlign w:val="center"/>
          </w:tcPr>
          <w:p w14:paraId="112DC6DA">
            <w:pPr>
              <w:autoSpaceDE w:val="0"/>
              <w:jc w:val="center"/>
              <w:textAlignment w:val="top"/>
              <w:rPr>
                <w:rFonts w:hint="eastAsia" w:ascii="宋体" w:hAnsi="宋体" w:cs="宋体"/>
                <w:color w:val="000000"/>
                <w:kern w:val="0"/>
                <w:sz w:val="24"/>
                <w:szCs w:val="24"/>
              </w:rPr>
            </w:pPr>
            <w:r>
              <w:rPr>
                <w:rFonts w:hint="eastAsia" w:ascii="宋体" w:hAnsi="宋体" w:cs="宋体"/>
                <w:kern w:val="0"/>
                <w:sz w:val="24"/>
                <w:szCs w:val="24"/>
                <w:lang w:bidi="ar"/>
              </w:rPr>
              <w:t>《培训记录单》</w:t>
            </w:r>
          </w:p>
        </w:tc>
      </w:tr>
      <w:tr w14:paraId="73F4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tcBorders>
              <w:top w:val="single" w:color="auto" w:sz="4" w:space="0"/>
              <w:left w:val="single" w:color="auto" w:sz="4" w:space="0"/>
              <w:bottom w:val="single" w:color="auto" w:sz="4" w:space="0"/>
              <w:right w:val="single" w:color="auto" w:sz="4" w:space="0"/>
            </w:tcBorders>
            <w:vAlign w:val="center"/>
          </w:tcPr>
          <w:p w14:paraId="75374657">
            <w:pPr>
              <w:jc w:val="center"/>
              <w:rPr>
                <w:rFonts w:hint="eastAsia" w:ascii="宋体" w:hAnsi="宋体" w:eastAsia="宋体" w:cs="宋体"/>
                <w:sz w:val="24"/>
                <w:szCs w:val="24"/>
                <w:shd w:val="clear" w:color="auto" w:fill="FFFFFF"/>
                <w:lang w:val="en-US" w:eastAsia="zh-CN" w:bidi="ar"/>
              </w:rPr>
            </w:pPr>
            <w:r>
              <w:rPr>
                <w:rFonts w:hint="eastAsia" w:ascii="宋体" w:hAnsi="宋体" w:cs="宋体"/>
                <w:sz w:val="24"/>
                <w:szCs w:val="24"/>
                <w:shd w:val="clear" w:color="auto" w:fill="FFFFFF"/>
                <w:lang w:val="en-US" w:eastAsia="zh-CN" w:bidi="ar"/>
              </w:rPr>
              <w:t>7</w:t>
            </w:r>
          </w:p>
        </w:tc>
        <w:tc>
          <w:tcPr>
            <w:tcW w:w="821" w:type="pct"/>
            <w:tcBorders>
              <w:top w:val="single" w:color="auto" w:sz="4" w:space="0"/>
              <w:left w:val="single" w:color="auto" w:sz="4" w:space="0"/>
              <w:bottom w:val="single" w:color="auto" w:sz="4" w:space="0"/>
              <w:right w:val="single" w:color="auto" w:sz="4" w:space="0"/>
            </w:tcBorders>
            <w:vAlign w:val="center"/>
          </w:tcPr>
          <w:p w14:paraId="4E87A5E8">
            <w:pPr>
              <w:autoSpaceDE w:val="0"/>
              <w:jc w:val="center"/>
              <w:textAlignment w:val="top"/>
              <w:rPr>
                <w:rFonts w:hint="eastAsia" w:ascii="宋体" w:hAnsi="宋体" w:eastAsia="宋体" w:cs="宋体"/>
                <w:color w:val="000000"/>
                <w:kern w:val="0"/>
                <w:sz w:val="24"/>
                <w:szCs w:val="24"/>
                <w:lang w:val="en-US" w:eastAsia="zh-CN" w:bidi="ar"/>
              </w:rPr>
            </w:pPr>
            <w:r>
              <w:rPr>
                <w:rFonts w:hAnsi="宋体" w:cs="Arial"/>
                <w:kern w:val="2"/>
              </w:rPr>
              <w:t>产品培训</w:t>
            </w:r>
            <w:r>
              <w:rPr>
                <w:rFonts w:hint="eastAsia" w:hAnsi="宋体" w:cs="Arial"/>
                <w:kern w:val="2"/>
                <w:lang w:val="en-US" w:eastAsia="zh-CN"/>
              </w:rPr>
              <w:t>服务</w:t>
            </w:r>
          </w:p>
        </w:tc>
        <w:tc>
          <w:tcPr>
            <w:tcW w:w="2923" w:type="pct"/>
            <w:tcBorders>
              <w:top w:val="single" w:color="auto" w:sz="4" w:space="0"/>
              <w:left w:val="single" w:color="auto" w:sz="4" w:space="0"/>
              <w:bottom w:val="single" w:color="auto" w:sz="4" w:space="0"/>
              <w:right w:val="single" w:color="auto" w:sz="4" w:space="0"/>
            </w:tcBorders>
            <w:vAlign w:val="center"/>
          </w:tcPr>
          <w:p w14:paraId="4AF0B0CD">
            <w:pPr>
              <w:autoSpaceDE w:val="0"/>
              <w:textAlignment w:val="top"/>
              <w:rPr>
                <w:rFonts w:hint="eastAsia" w:ascii="宋体" w:hAnsi="宋体" w:cs="宋体"/>
                <w:color w:val="000000"/>
                <w:kern w:val="0"/>
                <w:sz w:val="24"/>
                <w:szCs w:val="24"/>
                <w:lang w:bidi="ar"/>
              </w:rPr>
            </w:pPr>
            <w:r>
              <w:rPr>
                <w:rFonts w:hAnsi="宋体" w:cs="Arial"/>
              </w:rPr>
              <w:t>可</w:t>
            </w:r>
            <w:r>
              <w:rPr>
                <w:rFonts w:hint="eastAsia" w:hAnsi="宋体" w:cs="Arial"/>
                <w:lang w:val="en-US" w:eastAsia="zh-CN"/>
              </w:rPr>
              <w:t>按医院</w:t>
            </w:r>
            <w:r>
              <w:rPr>
                <w:rFonts w:hAnsi="宋体" w:cs="Arial"/>
              </w:rPr>
              <w:t>实际需要进行适当的产品使用操作和场景培训，帮助</w:t>
            </w:r>
            <w:r>
              <w:rPr>
                <w:rFonts w:hint="eastAsia" w:hAnsi="宋体" w:cs="Arial"/>
                <w:lang w:val="en-US" w:eastAsia="zh-CN"/>
              </w:rPr>
              <w:t>医院指定人员</w:t>
            </w:r>
            <w:r>
              <w:rPr>
                <w:rFonts w:hAnsi="宋体" w:cs="Arial"/>
              </w:rPr>
              <w:t>快速熟悉</w:t>
            </w:r>
            <w:r>
              <w:rPr>
                <w:rFonts w:hint="eastAsia" w:hAnsi="宋体" w:cs="Arial"/>
              </w:rPr>
              <w:t>系统</w:t>
            </w:r>
            <w:r>
              <w:rPr>
                <w:rFonts w:hAnsi="宋体" w:cs="Arial"/>
              </w:rPr>
              <w:t>和业务。</w:t>
            </w:r>
          </w:p>
        </w:tc>
        <w:tc>
          <w:tcPr>
            <w:tcW w:w="757" w:type="pct"/>
            <w:tcBorders>
              <w:top w:val="single" w:color="auto" w:sz="4" w:space="0"/>
              <w:left w:val="single" w:color="auto" w:sz="4" w:space="0"/>
              <w:bottom w:val="single" w:color="auto" w:sz="4" w:space="0"/>
              <w:right w:val="single" w:color="auto" w:sz="4" w:space="0"/>
            </w:tcBorders>
            <w:vAlign w:val="center"/>
          </w:tcPr>
          <w:p w14:paraId="1ED93B0F">
            <w:pPr>
              <w:autoSpaceDE w:val="0"/>
              <w:jc w:val="center"/>
              <w:textAlignment w:val="top"/>
              <w:rPr>
                <w:rFonts w:hint="eastAsia" w:ascii="宋体" w:hAnsi="宋体" w:cs="宋体"/>
                <w:kern w:val="0"/>
                <w:sz w:val="24"/>
                <w:szCs w:val="24"/>
                <w:lang w:bidi="ar"/>
              </w:rPr>
            </w:pPr>
          </w:p>
        </w:tc>
      </w:tr>
    </w:tbl>
    <w:p w14:paraId="05028662"/>
    <w:p w14:paraId="48C1D1B2">
      <w:pPr>
        <w:pStyle w:val="2"/>
      </w:pPr>
    </w:p>
    <w:p w14:paraId="3859F3E3">
      <w:pPr>
        <w:jc w:val="left"/>
      </w:pPr>
      <w:bookmarkStart w:id="2" w:name="_Toc215565985"/>
      <w:bookmarkStart w:id="3" w:name="_Toc19715"/>
      <w:r>
        <w:rPr>
          <w:rFonts w:hint="eastAsia" w:cs="Times New Roman"/>
          <w:b/>
          <w:bCs/>
          <w:kern w:val="2"/>
          <w:sz w:val="32"/>
          <w:szCs w:val="32"/>
          <w:lang w:val="en-US" w:eastAsia="zh-CN" w:bidi="ar-SA"/>
        </w:rPr>
        <w:t>5.系统运维服务</w:t>
      </w:r>
      <w:bookmarkEnd w:id="2"/>
    </w:p>
    <w:p w14:paraId="4AFC2874">
      <w:pPr>
        <w:pStyle w:val="6"/>
        <w:numPr>
          <w:ilvl w:val="3"/>
          <w:numId w:val="0"/>
        </w:numPr>
        <w:ind w:left="0" w:firstLine="0"/>
        <w:rPr>
          <w:rFonts w:hint="eastAsia"/>
        </w:rPr>
      </w:pPr>
      <w:r>
        <w:rPr>
          <w:rFonts w:hint="eastAsia"/>
          <w:lang w:eastAsia="zh-CN"/>
        </w:rPr>
        <w:t>（</w:t>
      </w:r>
      <w:r>
        <w:rPr>
          <w:rFonts w:hint="eastAsia"/>
          <w:lang w:val="en-US" w:eastAsia="zh-CN"/>
        </w:rPr>
        <w:t>1</w:t>
      </w:r>
      <w:r>
        <w:rPr>
          <w:rFonts w:hint="eastAsia"/>
          <w:lang w:eastAsia="zh-CN"/>
        </w:rPr>
        <w:t>）</w:t>
      </w:r>
      <w:r>
        <w:rPr>
          <w:rFonts w:hint="eastAsia"/>
        </w:rPr>
        <w:t>医保</w:t>
      </w:r>
      <w:r>
        <w:rPr>
          <w:rFonts w:hint="eastAsia"/>
          <w:lang w:eastAsia="zh-CN"/>
        </w:rPr>
        <w:t>DRGs</w:t>
      </w:r>
      <w:r>
        <w:rPr>
          <w:rFonts w:hint="eastAsia"/>
        </w:rPr>
        <w:t>医院智慧运营管理系统服务</w:t>
      </w:r>
    </w:p>
    <w:tbl>
      <w:tblPr>
        <w:tblStyle w:val="34"/>
        <w:tblW w:w="8506" w:type="dxa"/>
        <w:tblInd w:w="-431" w:type="dxa"/>
        <w:tblLayout w:type="autofit"/>
        <w:tblCellMar>
          <w:top w:w="0" w:type="dxa"/>
          <w:left w:w="108" w:type="dxa"/>
          <w:bottom w:w="0" w:type="dxa"/>
          <w:right w:w="108" w:type="dxa"/>
        </w:tblCellMar>
      </w:tblPr>
      <w:tblGrid>
        <w:gridCol w:w="704"/>
        <w:gridCol w:w="856"/>
        <w:gridCol w:w="709"/>
        <w:gridCol w:w="6237"/>
      </w:tblGrid>
      <w:tr w14:paraId="0ECA7D7F">
        <w:tblPrEx>
          <w:tblCellMar>
            <w:top w:w="0" w:type="dxa"/>
            <w:left w:w="108" w:type="dxa"/>
            <w:bottom w:w="0" w:type="dxa"/>
            <w:right w:w="108" w:type="dxa"/>
          </w:tblCellMar>
        </w:tblPrEx>
        <w:trPr>
          <w:tblHeader/>
        </w:trPr>
        <w:tc>
          <w:tcPr>
            <w:tcW w:w="704" w:type="dxa"/>
            <w:tcBorders>
              <w:top w:val="single" w:color="auto" w:sz="4" w:space="0"/>
              <w:left w:val="single" w:color="auto" w:sz="4" w:space="0"/>
              <w:bottom w:val="single" w:color="auto" w:sz="4" w:space="0"/>
              <w:right w:val="single" w:color="auto" w:sz="4" w:space="0"/>
            </w:tcBorders>
            <w:vAlign w:val="center"/>
          </w:tcPr>
          <w:p w14:paraId="06B0F348">
            <w:pPr>
              <w:jc w:val="center"/>
              <w:rPr>
                <w:rFonts w:hint="eastAsia" w:ascii="宋体" w:hAnsi="宋体" w:cs="宋体"/>
                <w:b/>
                <w:bCs/>
                <w:color w:val="000000"/>
                <w:kern w:val="0"/>
                <w:sz w:val="24"/>
                <w:szCs w:val="24"/>
              </w:rPr>
            </w:pPr>
            <w:bookmarkStart w:id="4" w:name="_Hlk148601236"/>
            <w:r>
              <w:rPr>
                <w:rFonts w:hint="eastAsia" w:ascii="宋体" w:hAnsi="宋体" w:cs="宋体"/>
                <w:b/>
                <w:bCs/>
                <w:color w:val="000000"/>
                <w:kern w:val="0"/>
                <w:sz w:val="24"/>
                <w:szCs w:val="24"/>
              </w:rPr>
              <w:t>大类</w:t>
            </w:r>
          </w:p>
        </w:tc>
        <w:tc>
          <w:tcPr>
            <w:tcW w:w="856" w:type="dxa"/>
            <w:tcBorders>
              <w:top w:val="single" w:color="auto" w:sz="4" w:space="0"/>
              <w:left w:val="nil"/>
              <w:bottom w:val="single" w:color="auto" w:sz="4" w:space="0"/>
              <w:right w:val="single" w:color="auto" w:sz="4" w:space="0"/>
            </w:tcBorders>
            <w:vAlign w:val="center"/>
          </w:tcPr>
          <w:p w14:paraId="4D71C2AF">
            <w:pPr>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模块</w:t>
            </w:r>
          </w:p>
        </w:tc>
        <w:tc>
          <w:tcPr>
            <w:tcW w:w="709" w:type="dxa"/>
            <w:tcBorders>
              <w:top w:val="single" w:color="auto" w:sz="4" w:space="0"/>
              <w:left w:val="nil"/>
              <w:bottom w:val="single" w:color="auto" w:sz="4" w:space="0"/>
              <w:right w:val="single" w:color="auto" w:sz="4" w:space="0"/>
            </w:tcBorders>
            <w:vAlign w:val="center"/>
          </w:tcPr>
          <w:p w14:paraId="20468FE3">
            <w:pPr>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功能点</w:t>
            </w:r>
          </w:p>
        </w:tc>
        <w:tc>
          <w:tcPr>
            <w:tcW w:w="6237" w:type="dxa"/>
            <w:tcBorders>
              <w:top w:val="single" w:color="auto" w:sz="4" w:space="0"/>
              <w:left w:val="nil"/>
              <w:bottom w:val="single" w:color="auto" w:sz="4" w:space="0"/>
              <w:right w:val="single" w:color="auto" w:sz="4" w:space="0"/>
            </w:tcBorders>
            <w:vAlign w:val="center"/>
          </w:tcPr>
          <w:p w14:paraId="4E0AC8E9">
            <w:pPr>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功能说明</w:t>
            </w:r>
          </w:p>
        </w:tc>
      </w:tr>
      <w:tr w14:paraId="735BBCB1">
        <w:tblPrEx>
          <w:tblCellMar>
            <w:top w:w="0" w:type="dxa"/>
            <w:left w:w="108" w:type="dxa"/>
            <w:bottom w:w="0" w:type="dxa"/>
            <w:right w:w="108" w:type="dxa"/>
          </w:tblCellMar>
        </w:tblPrEx>
        <w:tc>
          <w:tcPr>
            <w:tcW w:w="704" w:type="dxa"/>
            <w:vMerge w:val="restart"/>
            <w:tcBorders>
              <w:top w:val="nil"/>
              <w:left w:val="single" w:color="auto" w:sz="4" w:space="0"/>
              <w:bottom w:val="single" w:color="auto" w:sz="4" w:space="0"/>
              <w:right w:val="single" w:color="auto" w:sz="4" w:space="0"/>
            </w:tcBorders>
            <w:vAlign w:val="center"/>
          </w:tcPr>
          <w:p w14:paraId="093D255E">
            <w:pPr>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在院管理</w:t>
            </w:r>
          </w:p>
        </w:tc>
        <w:tc>
          <w:tcPr>
            <w:tcW w:w="1565" w:type="dxa"/>
            <w:gridSpan w:val="2"/>
            <w:tcBorders>
              <w:top w:val="single" w:color="auto" w:sz="4" w:space="0"/>
              <w:left w:val="nil"/>
              <w:bottom w:val="single" w:color="auto" w:sz="4" w:space="0"/>
              <w:right w:val="single" w:color="auto" w:sz="4" w:space="0"/>
            </w:tcBorders>
            <w:vAlign w:val="center"/>
          </w:tcPr>
          <w:p w14:paraId="09CF2B6B">
            <w:pPr>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医生助手（在院</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分组监测接口）</w:t>
            </w:r>
          </w:p>
        </w:tc>
        <w:tc>
          <w:tcPr>
            <w:tcW w:w="6237" w:type="dxa"/>
            <w:tcBorders>
              <w:top w:val="nil"/>
              <w:left w:val="nil"/>
              <w:bottom w:val="single" w:color="auto" w:sz="4" w:space="0"/>
              <w:right w:val="single" w:color="auto" w:sz="4" w:space="0"/>
            </w:tcBorders>
            <w:vAlign w:val="center"/>
          </w:tcPr>
          <w:p w14:paraId="6BC1580C">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 提供全院病例</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分组预测与预警信息，包括费用异常预警、病历质控预警、不合理入院预警，预警条件支持自定义设置；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提供病例当前实时</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预测分组信息，以及住院费用进度条，直观了解费用消耗情况；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支持查看患者基本信息、诊断、手术，以及历史住院的</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分组与诊断/手术信息；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支持在院期间查看各个费用结构及费用标杆值，并能下钻查看各费用项目明细，包括药品、耗材、检查检验等；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 支持大数据模拟分组，通过调整主诊断、次诊断、主手术、次手术进行模拟分组，对中医分组支持主病主症模拟分组；</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 支持病例按多种结算方式进行预测对比，包括床日结算、病组结算、中医结算，并优先展示结算金额最高的结算方式；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 支持手动选择任意患者按照床日结算类型进行预测；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 支持输入主诊断后，智能推荐相匹配的常用手术；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 支持按照地区医保结算规则进行适配，包括新技术、特殊药品耗材追加、基础病组同病同价等。</w:t>
            </w:r>
          </w:p>
        </w:tc>
      </w:tr>
      <w:tr w14:paraId="16273C16">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2162C7B7">
            <w:pPr>
              <w:spacing w:line="276" w:lineRule="auto"/>
              <w:jc w:val="left"/>
              <w:rPr>
                <w:rFonts w:hint="eastAsia" w:ascii="宋体" w:hAnsi="宋体" w:cs="宋体"/>
                <w:color w:val="000000"/>
                <w:kern w:val="0"/>
                <w:sz w:val="24"/>
                <w:szCs w:val="24"/>
              </w:rPr>
            </w:pPr>
          </w:p>
        </w:tc>
        <w:tc>
          <w:tcPr>
            <w:tcW w:w="856" w:type="dxa"/>
            <w:vMerge w:val="restart"/>
            <w:tcBorders>
              <w:top w:val="nil"/>
              <w:left w:val="single" w:color="auto" w:sz="4" w:space="0"/>
              <w:bottom w:val="single" w:color="auto" w:sz="4" w:space="0"/>
              <w:right w:val="single" w:color="auto" w:sz="4" w:space="0"/>
            </w:tcBorders>
            <w:vAlign w:val="center"/>
          </w:tcPr>
          <w:p w14:paraId="6594833B">
            <w:pPr>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事中监测分析</w:t>
            </w:r>
          </w:p>
        </w:tc>
        <w:tc>
          <w:tcPr>
            <w:tcW w:w="709" w:type="dxa"/>
            <w:tcBorders>
              <w:top w:val="nil"/>
              <w:left w:val="nil"/>
              <w:bottom w:val="single" w:color="auto" w:sz="4" w:space="0"/>
              <w:right w:val="single" w:color="auto" w:sz="4" w:space="0"/>
            </w:tcBorders>
            <w:vAlign w:val="center"/>
          </w:tcPr>
          <w:p w14:paraId="0D7B60C7">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在院监测</w:t>
            </w:r>
          </w:p>
        </w:tc>
        <w:tc>
          <w:tcPr>
            <w:tcW w:w="6237" w:type="dxa"/>
            <w:tcBorders>
              <w:top w:val="nil"/>
              <w:left w:val="nil"/>
              <w:bottom w:val="single" w:color="auto" w:sz="4" w:space="0"/>
              <w:right w:val="single" w:color="auto" w:sz="4" w:space="0"/>
            </w:tcBorders>
            <w:vAlign w:val="center"/>
          </w:tcPr>
          <w:p w14:paraId="513C6CD0">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[病例范围：当前在院患者]</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 提供全院病例</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分组预测与预警信息，包括费用异常预警、病历质控预警、不合理入院预警，预警条件支持自定义设置；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提供病例当前实时</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预测分组信息，以及住院费用进度条，直观了解费用消耗情况；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支持查看患者基本信息、诊断、手术，以及历史住院的</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分组与诊断/手术信息；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支持在院期间查看各个费用结构及费用标杆值，并能下钻查看各费用项目明细，包括药品、耗材、检查检验等；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 支持多种筛选条件查找数据：包括结算方式（床日结算、病组结算）、病例类型（高倍率、低倍率、正常病例等）、医保类型等；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 支持筛选特殊病例：包括15天再入院、基础病组、中途出院结算、住院天数超高、24小时出入院、新技术病例等；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 支持按姓名、住院号、患者ID、床位号等搜索病例；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 支持从科室、医疗组、病区、医生等维度查看预警病例；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 列表字段支持用户自定义显示与排列，包含表头字段是否显示以及固定列设置，支持列表所有数据下载；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 支持大数据模拟分组，通过调整主诊断、次诊断、主手术、次手术进行模拟分组，对中医分组支持主病主症模拟分组；</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 支持病例按多种结算方式进行预测对比，包括床日结算、病组结算、中医结算，并优先展示结算金额最高的结算方式；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 支持手动选择任意患者按照床日结算类型进行预测；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 支持按照地区医保结算规则进行适配，包括新技术、特殊药品耗材追加、基础病组同病同价等。</w:t>
            </w:r>
          </w:p>
        </w:tc>
      </w:tr>
      <w:tr w14:paraId="16F04AA8">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7A38C745">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6F419381">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41C4BC5E">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提交前病例监测</w:t>
            </w:r>
          </w:p>
        </w:tc>
        <w:tc>
          <w:tcPr>
            <w:tcW w:w="6237" w:type="dxa"/>
            <w:tcBorders>
              <w:top w:val="nil"/>
              <w:left w:val="nil"/>
              <w:bottom w:val="single" w:color="auto" w:sz="4" w:space="0"/>
              <w:right w:val="single" w:color="auto" w:sz="4" w:space="0"/>
            </w:tcBorders>
            <w:vAlign w:val="center"/>
          </w:tcPr>
          <w:p w14:paraId="337B2968">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[病例范围：出院但未将病历提交病案室归档的病例]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 提供全院病例</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分组预测与预警信息，包括费用异常预警、病历质控预警、不合理入院预警，预警条件支持自定义设置；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提供病例当前实时</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预测分组信息，以及住院费用进度条，直观了解费用消耗情况；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支持查看患者基本信息、诊断、手术，以及历史住院的</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分组与诊断/手术信息；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支持在院期间查看各个费用结构及费用标杆值，并能下钻查看各费用项目明细，包括药品、耗材、检查检验等；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 支持多种筛选条件查找数据：包括结算方式（床日结算、病组结算）、病例类型（高倍率、低倍率、正常病例等）、医保类型等；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 支持筛选特殊病例：包括15天再入院、基础病组、中途出院结算、住院天数超高、24小时出入院、新技术病例等；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 支持按姓名、住院号、患者ID、床位号等搜索病例；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 支持从科室、医疗组、病区、医生等维度查看预警病例；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 列表字段支持用户自定义显示与排列，包含表头字段是否显示以及固定列设置，支持列表所有数据下载；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 支持大数据模拟分组，通过调整主诊断、次诊断、主手术、次手术进行模拟分组，对中医分组支持主病主症模拟分组；</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 支持病例按多种结算方式进行预测对比，包括床日结算、病组结算、中医结算，并优先展示结算金额最高的结算方式；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 支持手动选择任意患者按照床日结算类型进行预测；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 支持按照地区医保结算规则进行适配，包括新技术、特殊药品耗材追加、基础病组同病同价等。</w:t>
            </w:r>
          </w:p>
        </w:tc>
      </w:tr>
      <w:tr w14:paraId="5DF04DA5">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1B6CDAA3">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3A0C5D42">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07626FBE">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已提交病例分析</w:t>
            </w:r>
          </w:p>
        </w:tc>
        <w:tc>
          <w:tcPr>
            <w:tcW w:w="6237" w:type="dxa"/>
            <w:tcBorders>
              <w:top w:val="nil"/>
              <w:left w:val="nil"/>
              <w:bottom w:val="single" w:color="auto" w:sz="4" w:space="0"/>
              <w:right w:val="single" w:color="auto" w:sz="4" w:space="0"/>
            </w:tcBorders>
            <w:vAlign w:val="center"/>
          </w:tcPr>
          <w:p w14:paraId="6665796E">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[病例范围：出院已提交病案归档，但未与医保局结算的病例]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 支持对比查看临床与病案编码后病例的诊断、手术、</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分组数据，并对不一致数据进行颜色标记；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支持多种筛选条件查找数据：包括结算方式（床日结算、病组结算）、病例类型（高倍率、低倍率、正常病例等）、医保类型等；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支持筛选特殊病例：包括15天再入院、基础病组、中途出院结算、住院天数超高、24小时出入院、新技术病例等；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支持按姓名、住院号、患者ID、床位号等搜索病例；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 列表字段支持用户自定义显示与排列，包含表头字段是否显示以及固定列设置，支持列表所有数据下载；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 支持大数据模拟分组，通过调整主诊断、次诊断、主手术、次手术进行模拟分组，对中医分组支持主病主症模拟分组；</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 支持病例按多种结算方式进行预测对比，包括床日结算、病组结算、中医结算，并优先展示结算金额最高的结算方式。</w:t>
            </w:r>
          </w:p>
        </w:tc>
      </w:tr>
      <w:tr w14:paraId="6F43AF3B">
        <w:tblPrEx>
          <w:tblCellMar>
            <w:top w:w="0" w:type="dxa"/>
            <w:left w:w="108" w:type="dxa"/>
            <w:bottom w:w="0" w:type="dxa"/>
            <w:right w:w="108" w:type="dxa"/>
          </w:tblCellMar>
        </w:tblPrEx>
        <w:tc>
          <w:tcPr>
            <w:tcW w:w="704" w:type="dxa"/>
            <w:vMerge w:val="restart"/>
            <w:tcBorders>
              <w:top w:val="nil"/>
              <w:left w:val="single" w:color="auto" w:sz="4" w:space="0"/>
              <w:bottom w:val="single" w:color="auto" w:sz="4" w:space="0"/>
              <w:right w:val="single" w:color="auto" w:sz="4" w:space="0"/>
            </w:tcBorders>
            <w:vAlign w:val="center"/>
          </w:tcPr>
          <w:p w14:paraId="66DFA73A">
            <w:pPr>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运营分析</w:t>
            </w:r>
          </w:p>
        </w:tc>
        <w:tc>
          <w:tcPr>
            <w:tcW w:w="856" w:type="dxa"/>
            <w:vMerge w:val="restart"/>
            <w:tcBorders>
              <w:top w:val="nil"/>
              <w:left w:val="single" w:color="auto" w:sz="4" w:space="0"/>
              <w:bottom w:val="single" w:color="auto" w:sz="4" w:space="0"/>
              <w:right w:val="single" w:color="auto" w:sz="4" w:space="0"/>
            </w:tcBorders>
            <w:vAlign w:val="center"/>
          </w:tcPr>
          <w:p w14:paraId="2D1F58AD">
            <w:pPr>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highlight w:val="yellow"/>
                <w:lang w:eastAsia="zh-CN"/>
              </w:rPr>
              <w:t>DRGs</w:t>
            </w:r>
            <w:r>
              <w:rPr>
                <w:rFonts w:hint="eastAsia" w:ascii="宋体" w:hAnsi="宋体" w:cs="宋体"/>
                <w:color w:val="000000"/>
                <w:kern w:val="0"/>
                <w:sz w:val="24"/>
                <w:szCs w:val="24"/>
                <w:highlight w:val="yellow"/>
              </w:rPr>
              <w:t>驾驶舱</w:t>
            </w:r>
          </w:p>
        </w:tc>
        <w:tc>
          <w:tcPr>
            <w:tcW w:w="709" w:type="dxa"/>
            <w:tcBorders>
              <w:top w:val="nil"/>
              <w:left w:val="nil"/>
              <w:bottom w:val="single" w:color="auto" w:sz="4" w:space="0"/>
              <w:right w:val="single" w:color="auto" w:sz="4" w:space="0"/>
            </w:tcBorders>
            <w:vAlign w:val="center"/>
          </w:tcPr>
          <w:p w14:paraId="2699C150">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医院</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整体情况</w:t>
            </w:r>
          </w:p>
        </w:tc>
        <w:tc>
          <w:tcPr>
            <w:tcW w:w="6237" w:type="dxa"/>
            <w:tcBorders>
              <w:top w:val="nil"/>
              <w:left w:val="nil"/>
              <w:bottom w:val="single" w:color="auto" w:sz="4" w:space="0"/>
              <w:right w:val="single" w:color="auto" w:sz="4" w:space="0"/>
            </w:tcBorders>
            <w:vAlign w:val="center"/>
          </w:tcPr>
          <w:p w14:paraId="7399D315">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展示筛选时间段内全院病例数、总结余、CMI、病组数等</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核心数据，所有统计图均支持放大和下载。</w:t>
            </w:r>
          </w:p>
        </w:tc>
      </w:tr>
      <w:tr w14:paraId="44D6165B">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12A66C23">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158F3E61">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3358C38A">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全院超支结余分析</w:t>
            </w:r>
          </w:p>
        </w:tc>
        <w:tc>
          <w:tcPr>
            <w:tcW w:w="6237" w:type="dxa"/>
            <w:tcBorders>
              <w:top w:val="nil"/>
              <w:left w:val="nil"/>
              <w:bottom w:val="single" w:color="auto" w:sz="4" w:space="0"/>
              <w:right w:val="single" w:color="auto" w:sz="4" w:space="0"/>
            </w:tcBorders>
            <w:vAlign w:val="center"/>
          </w:tcPr>
          <w:p w14:paraId="6F5256BA">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展示筛选时间段内的超支结余趋势、超支结余科室分布、病例类型分布、高低倍率病例占比趋势，支持下钻。</w:t>
            </w:r>
          </w:p>
        </w:tc>
      </w:tr>
      <w:tr w14:paraId="587B0D92">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64247367">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656C2828">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014D7C66">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全院费用构成分析</w:t>
            </w:r>
          </w:p>
        </w:tc>
        <w:tc>
          <w:tcPr>
            <w:tcW w:w="6237" w:type="dxa"/>
            <w:tcBorders>
              <w:top w:val="nil"/>
              <w:left w:val="nil"/>
              <w:bottom w:val="single" w:color="auto" w:sz="4" w:space="0"/>
              <w:right w:val="single" w:color="auto" w:sz="4" w:space="0"/>
            </w:tcBorders>
            <w:vAlign w:val="center"/>
          </w:tcPr>
          <w:p w14:paraId="14A9FDD2">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展示筛选时间段内各费用类型的金额及占比、药占比、耗占比、检查检验占比、医疗服务占比趋势，支持按病例类型选择统计范围。</w:t>
            </w:r>
          </w:p>
        </w:tc>
      </w:tr>
      <w:tr w14:paraId="1D38027B">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03C48CCC">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265A1560">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68F2BE3E">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全院资源使用效率分析</w:t>
            </w:r>
          </w:p>
        </w:tc>
        <w:tc>
          <w:tcPr>
            <w:tcW w:w="6237" w:type="dxa"/>
            <w:tcBorders>
              <w:top w:val="nil"/>
              <w:left w:val="nil"/>
              <w:bottom w:val="single" w:color="auto" w:sz="4" w:space="0"/>
              <w:right w:val="single" w:color="auto" w:sz="4" w:space="0"/>
            </w:tcBorders>
            <w:vAlign w:val="center"/>
          </w:tcPr>
          <w:p w14:paraId="43793D78">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展示筛选时间段内次均费用、次均点数与平均住院日趋势，支持与去年同期比较。</w:t>
            </w:r>
          </w:p>
        </w:tc>
      </w:tr>
      <w:tr w14:paraId="6D1022B6">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08C3F304">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604E9B1F">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42A1D6B8">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全院病组构成分析</w:t>
            </w:r>
          </w:p>
        </w:tc>
        <w:tc>
          <w:tcPr>
            <w:tcW w:w="6237" w:type="dxa"/>
            <w:tcBorders>
              <w:top w:val="nil"/>
              <w:left w:val="nil"/>
              <w:bottom w:val="single" w:color="auto" w:sz="4" w:space="0"/>
              <w:right w:val="single" w:color="auto" w:sz="4" w:space="0"/>
            </w:tcBorders>
            <w:vAlign w:val="center"/>
          </w:tcPr>
          <w:p w14:paraId="55B71E3E">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展示筛选时间段内CMI趋势，各RW区间病组分布情况，RW区间支持自定义调整和下钻。</w:t>
            </w:r>
          </w:p>
        </w:tc>
      </w:tr>
      <w:tr w14:paraId="322719E6">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1F10996E">
            <w:pPr>
              <w:spacing w:line="276" w:lineRule="auto"/>
              <w:jc w:val="left"/>
              <w:rPr>
                <w:rFonts w:hint="eastAsia" w:ascii="宋体" w:hAnsi="宋体" w:cs="宋体"/>
                <w:color w:val="000000"/>
                <w:kern w:val="0"/>
                <w:sz w:val="24"/>
                <w:szCs w:val="24"/>
              </w:rPr>
            </w:pPr>
          </w:p>
        </w:tc>
        <w:tc>
          <w:tcPr>
            <w:tcW w:w="856" w:type="dxa"/>
            <w:vMerge w:val="restart"/>
            <w:tcBorders>
              <w:top w:val="nil"/>
              <w:left w:val="single" w:color="auto" w:sz="4" w:space="0"/>
              <w:bottom w:val="single" w:color="auto" w:sz="4" w:space="0"/>
              <w:right w:val="single" w:color="auto" w:sz="4" w:space="0"/>
            </w:tcBorders>
            <w:vAlign w:val="center"/>
          </w:tcPr>
          <w:p w14:paraId="5ADAC76F">
            <w:pPr>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科室综合分析</w:t>
            </w:r>
          </w:p>
        </w:tc>
        <w:tc>
          <w:tcPr>
            <w:tcW w:w="709" w:type="dxa"/>
            <w:tcBorders>
              <w:top w:val="nil"/>
              <w:left w:val="nil"/>
              <w:bottom w:val="single" w:color="auto" w:sz="4" w:space="0"/>
              <w:right w:val="single" w:color="auto" w:sz="4" w:space="0"/>
            </w:tcBorders>
            <w:vAlign w:val="center"/>
          </w:tcPr>
          <w:p w14:paraId="1621C930">
            <w:pPr>
              <w:spacing w:line="276" w:lineRule="auto"/>
              <w:jc w:val="left"/>
              <w:rPr>
                <w:rFonts w:hint="eastAsia" w:ascii="宋体" w:hAnsi="宋体" w:cs="宋体"/>
                <w:color w:val="000000"/>
                <w:kern w:val="0"/>
                <w:sz w:val="24"/>
                <w:szCs w:val="24"/>
              </w:rPr>
            </w:pPr>
            <w:bookmarkStart w:id="5" w:name="RANGE!C12"/>
            <w:r>
              <w:rPr>
                <w:rFonts w:hint="eastAsia" w:ascii="宋体" w:hAnsi="宋体" w:cs="宋体"/>
                <w:color w:val="000000"/>
                <w:kern w:val="0"/>
                <w:sz w:val="24"/>
                <w:szCs w:val="24"/>
              </w:rPr>
              <w:t>科室对比分析</w:t>
            </w:r>
            <w:bookmarkEnd w:id="5"/>
          </w:p>
        </w:tc>
        <w:tc>
          <w:tcPr>
            <w:tcW w:w="6237" w:type="dxa"/>
            <w:tcBorders>
              <w:top w:val="nil"/>
              <w:left w:val="nil"/>
              <w:bottom w:val="single" w:color="auto" w:sz="4" w:space="0"/>
              <w:right w:val="single" w:color="auto" w:sz="4" w:space="0"/>
            </w:tcBorders>
            <w:vAlign w:val="center"/>
          </w:tcPr>
          <w:p w14:paraId="29300471">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 展示科室病例数、结余、病组数、CMI、入组率、药耗占比等相关指标数据对比，支持数据下钻；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提供按主题进行分析，包括运行指标监控、超支结余、费用构成、出院带药、不合理入院五大主题；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支持年/季/月筛选和自定义时间区间、病例范围、超支/结余科室筛选；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支持根据不同用户设置重点关注科室，并能够快速筛选和查看重点科室数据；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 支持运行目标与标杆数据对比，其中标杆数据根据历史数据自动生成，支持自定义修改标杆值，支持快速筛选超标科室；</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 支持二级科室管理，可以按照出院科室、管理科室分布查看和统计数据；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 列表字段支持用户自定义显示与排列，包含表头字段是否显示以及固定列设置，支持查看指标同比，列表数据下载。</w:t>
            </w:r>
          </w:p>
        </w:tc>
      </w:tr>
      <w:tr w14:paraId="50D2B6C6">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211964E6">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664084F3">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54393D5C">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科室主页（科室下钻分析）</w:t>
            </w:r>
          </w:p>
        </w:tc>
        <w:tc>
          <w:tcPr>
            <w:tcW w:w="6237" w:type="dxa"/>
            <w:tcBorders>
              <w:top w:val="nil"/>
              <w:left w:val="nil"/>
              <w:bottom w:val="single" w:color="auto" w:sz="4" w:space="0"/>
              <w:right w:val="single" w:color="auto" w:sz="4" w:space="0"/>
            </w:tcBorders>
            <w:vAlign w:val="center"/>
          </w:tcPr>
          <w:p w14:paraId="32F3DF85">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[单科室下</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运营数据统计分析]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 总览：支持科室多选，展示科室所选时间段内</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核心数据概览，包含病例数、CMI、结余、药耗占比、人头人次比、N天再入院、病组构成、平均住院日等；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超支结余分析：展示科室超支结余/次均结余趋势、超支结余病组分布及趋势、超支结余病例分布及趋势、病例类型分布、高低倍率病例占比趋势；支持下钻；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费用构成分析：展示科室在各个费用类型的金额及占比，药耗占比趋势，支持按病例类型选择统计范围；</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病组构成分析：通过矩阵象限，分析科室优势病组、劣势病组；支持数据对比与下钻，对不同象限的病组提供分析结论；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 资源使用效率分析：展示科室平均住院日趋势、次均费用趋势、时间消耗指数、费用消耗指数，支持与去年次均费用对比；</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 病历质量分析：展示科室编码前后分组不一致病例数趋势、点数差趋势、结余差趋势；</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 病组列表：同科室下不同病组</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运营数据对比，支持下载；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 医疗组列表：同科室下不同医疗组</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运营数据对比，支持下载；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 医生列表：同科室下不同医生</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运营数据对比，支持下载；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 病例列表：展示科室所选时间段内所有病例数据，支持按医疗组、病组、医生筛选、查看病例详情、模拟分组，支持表格数据下载。</w:t>
            </w:r>
          </w:p>
        </w:tc>
      </w:tr>
      <w:tr w14:paraId="4E3C527C">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3EBAB261">
            <w:pPr>
              <w:spacing w:line="276" w:lineRule="auto"/>
              <w:jc w:val="left"/>
              <w:rPr>
                <w:rFonts w:hint="eastAsia" w:ascii="宋体" w:hAnsi="宋体" w:cs="宋体"/>
                <w:color w:val="000000"/>
                <w:kern w:val="0"/>
                <w:sz w:val="24"/>
                <w:szCs w:val="24"/>
              </w:rPr>
            </w:pPr>
          </w:p>
        </w:tc>
        <w:tc>
          <w:tcPr>
            <w:tcW w:w="856" w:type="dxa"/>
            <w:vMerge w:val="restart"/>
            <w:tcBorders>
              <w:top w:val="nil"/>
              <w:left w:val="single" w:color="auto" w:sz="4" w:space="0"/>
              <w:bottom w:val="single" w:color="auto" w:sz="4" w:space="0"/>
              <w:right w:val="single" w:color="auto" w:sz="4" w:space="0"/>
            </w:tcBorders>
            <w:vAlign w:val="center"/>
          </w:tcPr>
          <w:p w14:paraId="1B5A1506">
            <w:pPr>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病组综合分析</w:t>
            </w:r>
          </w:p>
        </w:tc>
        <w:tc>
          <w:tcPr>
            <w:tcW w:w="709" w:type="dxa"/>
            <w:tcBorders>
              <w:top w:val="nil"/>
              <w:left w:val="nil"/>
              <w:bottom w:val="single" w:color="auto" w:sz="4" w:space="0"/>
              <w:right w:val="single" w:color="auto" w:sz="4" w:space="0"/>
            </w:tcBorders>
            <w:vAlign w:val="center"/>
          </w:tcPr>
          <w:p w14:paraId="69E53C3A">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病组对比分析</w:t>
            </w:r>
          </w:p>
        </w:tc>
        <w:tc>
          <w:tcPr>
            <w:tcW w:w="6237" w:type="dxa"/>
            <w:tcBorders>
              <w:top w:val="nil"/>
              <w:left w:val="nil"/>
              <w:bottom w:val="single" w:color="auto" w:sz="4" w:space="0"/>
              <w:right w:val="single" w:color="auto" w:sz="4" w:space="0"/>
            </w:tcBorders>
            <w:vAlign w:val="center"/>
          </w:tcPr>
          <w:p w14:paraId="1A446DFD">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 展示各</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病组病例数、结余、RW、药耗占比、时间消耗指数、费用消耗指数等相关指标数据对比，支持下钻；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支持按主题进行分析，包括运行指标监控、超支结余、费用构成、RW区间分布，其中RW区间支持自定义设置；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支持年/季/月筛选和自定义时间区间、病例范围、超支/结余科室筛选；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支持运行目标与标杆数据对比，其中标杆数据根据历史数据自动生成，支持自定义修改标杆值，支持快速筛选超标病组；</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 列表字段支持用户自定义显示与排列，包含表头字段是否显示以及固定列设置，支持查看指标同比，列表数据下载；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 支持根据不同用户设置重点关注病组，并能够快速筛选和查看重点病组数据。</w:t>
            </w:r>
          </w:p>
        </w:tc>
      </w:tr>
      <w:tr w14:paraId="2B210493">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7B353523">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4344749A">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343A1F92">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病组主页（病组下钻分析）</w:t>
            </w:r>
          </w:p>
        </w:tc>
        <w:tc>
          <w:tcPr>
            <w:tcW w:w="6237" w:type="dxa"/>
            <w:tcBorders>
              <w:top w:val="nil"/>
              <w:left w:val="nil"/>
              <w:bottom w:val="single" w:color="auto" w:sz="4" w:space="0"/>
              <w:right w:val="single" w:color="auto" w:sz="4" w:space="0"/>
            </w:tcBorders>
            <w:vAlign w:val="center"/>
          </w:tcPr>
          <w:p w14:paraId="34DA05E5">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[单病组下</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运营数据统计分析]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 总览：支持病组多选，展示病组在所选时间段内</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核心数据概览，包含总病例数、RW、结余、药耗占比、病组构成、平均住院日等；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超支结余分析：展示病组超支结余/次均结余趋势、超支结余病例分布及趋势、病例类型分布、高低倍率病例占比趋势；支持下钻；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费用构成分析：展示病组各个费用类型的金额、占比及超支影响率，药耗占比趋势，支持按病例类型选择统计范围；</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资源使用效率分析：展示病组平均住院日趋势、次均费用趋势、时间消耗指数、费用消耗指数；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 科室列表：同病组下不同科室</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运营数据对比，支持下载；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 医疗组列表：同病组下不同医疗组</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运营数据对比，支持下载；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 病例列表：所选病组所选时间段内所有病例数据，支持筛选、查看病例详情、模拟分组、下载。</w:t>
            </w:r>
          </w:p>
        </w:tc>
      </w:tr>
      <w:tr w14:paraId="16F4F3BF">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2CB941D6">
            <w:pPr>
              <w:spacing w:line="276" w:lineRule="auto"/>
              <w:jc w:val="left"/>
              <w:rPr>
                <w:rFonts w:hint="eastAsia" w:ascii="宋体" w:hAnsi="宋体" w:cs="宋体"/>
                <w:color w:val="000000"/>
                <w:kern w:val="0"/>
                <w:sz w:val="24"/>
                <w:szCs w:val="24"/>
              </w:rPr>
            </w:pPr>
          </w:p>
        </w:tc>
        <w:tc>
          <w:tcPr>
            <w:tcW w:w="856" w:type="dxa"/>
            <w:vMerge w:val="restart"/>
            <w:tcBorders>
              <w:top w:val="nil"/>
              <w:left w:val="single" w:color="auto" w:sz="4" w:space="0"/>
              <w:bottom w:val="single" w:color="auto" w:sz="4" w:space="0"/>
              <w:right w:val="single" w:color="auto" w:sz="4" w:space="0"/>
            </w:tcBorders>
            <w:vAlign w:val="center"/>
          </w:tcPr>
          <w:p w14:paraId="5A1F7EB0">
            <w:pPr>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医疗组综合分析</w:t>
            </w:r>
          </w:p>
        </w:tc>
        <w:tc>
          <w:tcPr>
            <w:tcW w:w="709" w:type="dxa"/>
            <w:tcBorders>
              <w:top w:val="nil"/>
              <w:left w:val="nil"/>
              <w:bottom w:val="single" w:color="auto" w:sz="4" w:space="0"/>
              <w:right w:val="single" w:color="auto" w:sz="4" w:space="0"/>
            </w:tcBorders>
            <w:vAlign w:val="center"/>
          </w:tcPr>
          <w:p w14:paraId="054C1EE0">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医疗组对比分析</w:t>
            </w:r>
          </w:p>
        </w:tc>
        <w:tc>
          <w:tcPr>
            <w:tcW w:w="6237" w:type="dxa"/>
            <w:tcBorders>
              <w:top w:val="nil"/>
              <w:left w:val="nil"/>
              <w:bottom w:val="single" w:color="auto" w:sz="4" w:space="0"/>
              <w:right w:val="single" w:color="auto" w:sz="4" w:space="0"/>
            </w:tcBorders>
            <w:vAlign w:val="center"/>
          </w:tcPr>
          <w:p w14:paraId="5449314B">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 展示医疗组病例数、结余、病组数、CMI、入组率、药耗占比等</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相关指标数据对比，支持数据下钻；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支持快捷筛选，包括超支医疗组、结余医疗组、环比结余增加、减少等，支持年/季/月筛选和自定义时间区间、病例范围筛选；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支持根据不同用户设置重点关注科室，并能够快速筛选和查看重点科室数据；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列表字段支持用户自定义显示与排列，包含表头字段是否显示以及固定列设置，支持查看指标同比，列表数据下载。</w:t>
            </w:r>
          </w:p>
        </w:tc>
      </w:tr>
      <w:tr w14:paraId="2E03E4D2">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4E37B6A2">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4A66534C">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52965A68">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医疗组主页（医疗组下钻分析）</w:t>
            </w:r>
          </w:p>
        </w:tc>
        <w:tc>
          <w:tcPr>
            <w:tcW w:w="6237" w:type="dxa"/>
            <w:tcBorders>
              <w:top w:val="nil"/>
              <w:left w:val="nil"/>
              <w:bottom w:val="single" w:color="auto" w:sz="4" w:space="0"/>
              <w:right w:val="single" w:color="auto" w:sz="4" w:space="0"/>
            </w:tcBorders>
            <w:vAlign w:val="center"/>
          </w:tcPr>
          <w:p w14:paraId="6D1732C7">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[单医疗组下</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运营数据统计分析]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 总览：支持医疗组多选，展示医疗组在所选时间段内</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核心数据概览，包含病例数、CMI、总权重、结余、药耗占比、病组构成、平均住院日等；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超支结余分析：展示医疗组超支结余/次均结余趋势、超支结余病组分布及趋势、超支结余病例分布及趋势、病例类型分布、高低倍率病例占比趋势；支持下钻；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费用构成分析：展示医疗组各个费用类型的金额及占比，药耗占比趋势，支持按病例类型选择统计范围；</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病组构成分析：通过矩阵象限，分析所选医疗组优势病组、劣势病组；支持数据对比与下钻，对不同象限的病组提供分析结论；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 资源使用效率分析：展示医疗组平均住院日趋势、次均费用趋势、时间消耗指数、费用消耗指数；</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 病组列表：同医疗组下不同病组</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运营数据对比，支持下载；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 医生列表：同医疗组下不同医生</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运营数据对比，支持下载；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 病例列表：所选医疗组所选时间段内所有病例数据，支持筛选、查看病例详情、模拟分组、下载。</w:t>
            </w:r>
          </w:p>
        </w:tc>
      </w:tr>
      <w:tr w14:paraId="584F02FB">
        <w:tblPrEx>
          <w:tblCellMar>
            <w:top w:w="0" w:type="dxa"/>
            <w:left w:w="108" w:type="dxa"/>
            <w:bottom w:w="0" w:type="dxa"/>
            <w:right w:w="108" w:type="dxa"/>
          </w:tblCellMar>
        </w:tblPrEx>
        <w:trPr>
          <w:trHeight w:val="3206" w:hRule="atLeast"/>
        </w:trPr>
        <w:tc>
          <w:tcPr>
            <w:tcW w:w="704" w:type="dxa"/>
            <w:vMerge w:val="continue"/>
            <w:tcBorders>
              <w:top w:val="nil"/>
              <w:left w:val="single" w:color="auto" w:sz="4" w:space="0"/>
              <w:bottom w:val="single" w:color="auto" w:sz="4" w:space="0"/>
              <w:right w:val="single" w:color="auto" w:sz="4" w:space="0"/>
            </w:tcBorders>
            <w:vAlign w:val="center"/>
          </w:tcPr>
          <w:p w14:paraId="666E0EC0">
            <w:pPr>
              <w:spacing w:line="276" w:lineRule="auto"/>
              <w:jc w:val="left"/>
              <w:rPr>
                <w:rFonts w:hint="eastAsia" w:ascii="宋体" w:hAnsi="宋体" w:cs="宋体"/>
                <w:color w:val="000000"/>
                <w:kern w:val="0"/>
                <w:sz w:val="24"/>
                <w:szCs w:val="24"/>
              </w:rPr>
            </w:pPr>
          </w:p>
        </w:tc>
        <w:tc>
          <w:tcPr>
            <w:tcW w:w="1565" w:type="dxa"/>
            <w:gridSpan w:val="2"/>
            <w:tcBorders>
              <w:top w:val="single" w:color="auto" w:sz="4" w:space="0"/>
              <w:left w:val="nil"/>
              <w:bottom w:val="single" w:color="auto" w:sz="4" w:space="0"/>
              <w:right w:val="single" w:color="auto" w:sz="4" w:space="0"/>
            </w:tcBorders>
            <w:vAlign w:val="center"/>
          </w:tcPr>
          <w:p w14:paraId="2738BA03">
            <w:pPr>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医生综合对比分析</w:t>
            </w:r>
          </w:p>
        </w:tc>
        <w:tc>
          <w:tcPr>
            <w:tcW w:w="6237" w:type="dxa"/>
            <w:tcBorders>
              <w:top w:val="nil"/>
              <w:left w:val="nil"/>
              <w:bottom w:val="single" w:color="auto" w:sz="4" w:space="0"/>
              <w:right w:val="single" w:color="auto" w:sz="4" w:space="0"/>
            </w:tcBorders>
            <w:vAlign w:val="center"/>
          </w:tcPr>
          <w:p w14:paraId="4644CBE6">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 展示医生病例数、结余、CMI、次均费用、总点数、人头人次比、病组数、高低倍率病例占比等</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相关指标数据对比，支持数据下钻；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支持快捷筛选，包括超支医生、结余医生、环比结余增加、减少、高低倍率病例占比高/低于全院平均等；支持年/季/月筛选和自定义时间区间、病例范围筛选、按医疗组筛选病例；支持模糊搜索医生；</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列表字段支持用户自定义显示与排列，包含表头字段是否显示以及固定列设置，列表数据下载。</w:t>
            </w:r>
          </w:p>
        </w:tc>
      </w:tr>
      <w:tr w14:paraId="58BD8641">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6A323B83">
            <w:pPr>
              <w:spacing w:line="276" w:lineRule="auto"/>
              <w:jc w:val="left"/>
              <w:rPr>
                <w:rFonts w:hint="eastAsia" w:ascii="宋体" w:hAnsi="宋体" w:cs="宋体"/>
                <w:color w:val="000000"/>
                <w:kern w:val="0"/>
                <w:sz w:val="24"/>
                <w:szCs w:val="24"/>
              </w:rPr>
            </w:pPr>
          </w:p>
        </w:tc>
        <w:tc>
          <w:tcPr>
            <w:tcW w:w="856" w:type="dxa"/>
            <w:vMerge w:val="restart"/>
            <w:tcBorders>
              <w:top w:val="nil"/>
              <w:left w:val="single" w:color="auto" w:sz="4" w:space="0"/>
              <w:bottom w:val="single" w:color="auto" w:sz="4" w:space="0"/>
              <w:right w:val="single" w:color="auto" w:sz="4" w:space="0"/>
            </w:tcBorders>
            <w:vAlign w:val="center"/>
          </w:tcPr>
          <w:p w14:paraId="2421F2BF">
            <w:pPr>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专题分析</w:t>
            </w:r>
          </w:p>
        </w:tc>
        <w:tc>
          <w:tcPr>
            <w:tcW w:w="709" w:type="dxa"/>
            <w:tcBorders>
              <w:top w:val="nil"/>
              <w:left w:val="nil"/>
              <w:bottom w:val="single" w:color="auto" w:sz="4" w:space="0"/>
              <w:right w:val="single" w:color="auto" w:sz="4" w:space="0"/>
            </w:tcBorders>
            <w:vAlign w:val="center"/>
          </w:tcPr>
          <w:p w14:paraId="456A6147">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费用分摊分析</w:t>
            </w:r>
          </w:p>
        </w:tc>
        <w:tc>
          <w:tcPr>
            <w:tcW w:w="6237" w:type="dxa"/>
            <w:tcBorders>
              <w:top w:val="nil"/>
              <w:left w:val="nil"/>
              <w:bottom w:val="single" w:color="auto" w:sz="4" w:space="0"/>
              <w:right w:val="single" w:color="auto" w:sz="4" w:space="0"/>
            </w:tcBorders>
            <w:vAlign w:val="center"/>
          </w:tcPr>
          <w:p w14:paraId="1D22BD1B">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[根据患者在各临床开单科室产生的费用占比，将</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结余按比例分摊统计分析]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 展示按出院科室与按费用产生科室结余对比；</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支持查看产生费用分摊病例明细，及病例在各科室的费用情况，支持下载；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支持按时间、科室、病例范围等筛选，支持表格按不同字段排序。</w:t>
            </w:r>
          </w:p>
        </w:tc>
      </w:tr>
      <w:tr w14:paraId="15F8110E">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79D45675">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6205C774">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12C19E36">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学科发展分析-学科覆盖度分析</w:t>
            </w:r>
          </w:p>
        </w:tc>
        <w:tc>
          <w:tcPr>
            <w:tcW w:w="6237" w:type="dxa"/>
            <w:tcBorders>
              <w:top w:val="nil"/>
              <w:left w:val="nil"/>
              <w:bottom w:val="single" w:color="auto" w:sz="4" w:space="0"/>
              <w:right w:val="single" w:color="auto" w:sz="4" w:space="0"/>
            </w:tcBorders>
            <w:vAlign w:val="center"/>
          </w:tcPr>
          <w:p w14:paraId="28DF34C4">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展示各MDC中医院病组/病例相对地区全部病组的覆盖度、各MDC医院病组/病例占比（覆盖度），以此反映医院学科广度，支持数据下载。</w:t>
            </w:r>
          </w:p>
        </w:tc>
      </w:tr>
      <w:tr w14:paraId="31F31B3C">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68B3155C">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39474B01">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7F15445E">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学科发展分析-科室评价</w:t>
            </w:r>
          </w:p>
        </w:tc>
        <w:tc>
          <w:tcPr>
            <w:tcW w:w="6237" w:type="dxa"/>
            <w:tcBorders>
              <w:top w:val="nil"/>
              <w:left w:val="nil"/>
              <w:bottom w:val="single" w:color="auto" w:sz="4" w:space="0"/>
              <w:right w:val="single" w:color="auto" w:sz="4" w:space="0"/>
            </w:tcBorders>
            <w:vAlign w:val="center"/>
          </w:tcPr>
          <w:p w14:paraId="6DECD6A3">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通过矩阵象限，分析在医保</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下相对优势的科室、劣势的科室；支持指标组合维度切换、原点自定义；支持数据下钻与下载。</w:t>
            </w:r>
          </w:p>
        </w:tc>
      </w:tr>
      <w:tr w14:paraId="4D701EA4">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5668958D">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053E2A60">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3CEC6AC9">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学科发展分析-病组评价</w:t>
            </w:r>
          </w:p>
        </w:tc>
        <w:tc>
          <w:tcPr>
            <w:tcW w:w="6237" w:type="dxa"/>
            <w:tcBorders>
              <w:top w:val="nil"/>
              <w:left w:val="nil"/>
              <w:bottom w:val="single" w:color="auto" w:sz="4" w:space="0"/>
              <w:right w:val="single" w:color="auto" w:sz="4" w:space="0"/>
            </w:tcBorders>
            <w:vAlign w:val="center"/>
          </w:tcPr>
          <w:p w14:paraId="54C9668D">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通过矩阵象限，分析在医保</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下医院的优势病组、劣势病组；支持指标组合维度切换；支持病组范围自定义，支持数据下钻与下载。</w:t>
            </w:r>
          </w:p>
        </w:tc>
      </w:tr>
      <w:tr w14:paraId="00A75DE0">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6154573D">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7BA39AF2">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4E7C234F">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病例性质分析</w:t>
            </w:r>
          </w:p>
        </w:tc>
        <w:tc>
          <w:tcPr>
            <w:tcW w:w="6237" w:type="dxa"/>
            <w:tcBorders>
              <w:top w:val="nil"/>
              <w:left w:val="nil"/>
              <w:bottom w:val="single" w:color="auto" w:sz="4" w:space="0"/>
              <w:right w:val="single" w:color="auto" w:sz="4" w:space="0"/>
            </w:tcBorders>
            <w:vAlign w:val="center"/>
          </w:tcPr>
          <w:p w14:paraId="0B636F09">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 展示各个统筹区、各个医保类型的病例数量及比例；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支持按照统筹区、医保类型分析全院及科室的核心指标，包括病例数、医疗总费用、次均费用、结余、平均住院日、CMI、药占比、耗占比、医技占比等；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支持表格数据排序和下载。</w:t>
            </w:r>
          </w:p>
        </w:tc>
      </w:tr>
      <w:tr w14:paraId="1BE38698">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2FC9174B">
            <w:pPr>
              <w:spacing w:line="276" w:lineRule="auto"/>
              <w:jc w:val="left"/>
              <w:rPr>
                <w:rFonts w:hint="eastAsia" w:ascii="宋体" w:hAnsi="宋体" w:cs="宋体"/>
                <w:color w:val="000000"/>
                <w:kern w:val="0"/>
                <w:sz w:val="24"/>
                <w:szCs w:val="24"/>
              </w:rPr>
            </w:pPr>
          </w:p>
        </w:tc>
        <w:tc>
          <w:tcPr>
            <w:tcW w:w="1565" w:type="dxa"/>
            <w:gridSpan w:val="2"/>
            <w:tcBorders>
              <w:top w:val="single" w:color="auto" w:sz="4" w:space="0"/>
              <w:left w:val="nil"/>
              <w:bottom w:val="single" w:color="auto" w:sz="4" w:space="0"/>
              <w:right w:val="single" w:color="auto" w:sz="4" w:space="0"/>
            </w:tcBorders>
            <w:vAlign w:val="center"/>
          </w:tcPr>
          <w:p w14:paraId="508F6593">
            <w:pPr>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病例数据综合查询与下载</w:t>
            </w:r>
          </w:p>
        </w:tc>
        <w:tc>
          <w:tcPr>
            <w:tcW w:w="6237" w:type="dxa"/>
            <w:tcBorders>
              <w:top w:val="nil"/>
              <w:left w:val="nil"/>
              <w:bottom w:val="single" w:color="auto" w:sz="4" w:space="0"/>
              <w:right w:val="single" w:color="auto" w:sz="4" w:space="0"/>
            </w:tcBorders>
            <w:vAlign w:val="center"/>
          </w:tcPr>
          <w:p w14:paraId="283888C4">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 展示病例明细数据，支持查看详情，包含</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分组、诊断/手术、费用占比及明细等信息；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支持按病例类型、15天再入院、科室、结余范围等条件组合筛选；支持按住院号、患者姓名、病案号、主诊主手等模糊搜索病例；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支持表格数据排序和筛选，支持15天再入院及其上次关联病例的数据下载；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支持大数据模拟分组，通过调整主诊断、次诊断、主手术、次手术进行模拟分组；</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 支持病例按多种结算方式进行预测对比，包括床日结算、病组结算、中医结算，并优先展示点数最高的结算方式。</w:t>
            </w:r>
          </w:p>
        </w:tc>
      </w:tr>
      <w:tr w14:paraId="060D536E">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02AF4253">
            <w:pPr>
              <w:spacing w:line="276" w:lineRule="auto"/>
              <w:jc w:val="left"/>
              <w:rPr>
                <w:rFonts w:hint="eastAsia" w:ascii="宋体" w:hAnsi="宋体" w:cs="宋体"/>
                <w:color w:val="000000"/>
                <w:kern w:val="0"/>
                <w:sz w:val="24"/>
                <w:szCs w:val="24"/>
              </w:rPr>
            </w:pPr>
          </w:p>
        </w:tc>
        <w:tc>
          <w:tcPr>
            <w:tcW w:w="1565" w:type="dxa"/>
            <w:gridSpan w:val="2"/>
            <w:tcBorders>
              <w:top w:val="single" w:color="auto" w:sz="4" w:space="0"/>
              <w:left w:val="nil"/>
              <w:bottom w:val="single" w:color="auto" w:sz="4" w:space="0"/>
              <w:right w:val="single" w:color="auto" w:sz="4" w:space="0"/>
            </w:tcBorders>
            <w:vAlign w:val="center"/>
          </w:tcPr>
          <w:p w14:paraId="18901A1C">
            <w:pPr>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指标综合查询与下载</w:t>
            </w:r>
          </w:p>
        </w:tc>
        <w:tc>
          <w:tcPr>
            <w:tcW w:w="6237" w:type="dxa"/>
            <w:tcBorders>
              <w:top w:val="nil"/>
              <w:left w:val="nil"/>
              <w:bottom w:val="single" w:color="auto" w:sz="4" w:space="0"/>
              <w:right w:val="single" w:color="auto" w:sz="4" w:space="0"/>
            </w:tcBorders>
            <w:vAlign w:val="center"/>
          </w:tcPr>
          <w:p w14:paraId="6B46613D">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 提供各个主题的指标下载，包括医疗服务能力、费用控制、</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结算指标、费用控制等；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支持指标自定义选择数据范围、时间范围、导出维度（全院/科室/病组等）；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支持保存指标报表模板，方便同一报表重复下载；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支持导出</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系统点击量统计指标，维度支持全院、科室、操作工号。</w:t>
            </w:r>
          </w:p>
        </w:tc>
      </w:tr>
      <w:tr w14:paraId="37FD0C32">
        <w:tblPrEx>
          <w:tblCellMar>
            <w:top w:w="0" w:type="dxa"/>
            <w:left w:w="108" w:type="dxa"/>
            <w:bottom w:w="0" w:type="dxa"/>
            <w:right w:w="108" w:type="dxa"/>
          </w:tblCellMar>
        </w:tblPrEx>
        <w:tc>
          <w:tcPr>
            <w:tcW w:w="704" w:type="dxa"/>
            <w:vMerge w:val="restart"/>
            <w:tcBorders>
              <w:top w:val="nil"/>
              <w:left w:val="single" w:color="auto" w:sz="4" w:space="0"/>
              <w:right w:val="single" w:color="auto" w:sz="4" w:space="0"/>
            </w:tcBorders>
            <w:vAlign w:val="center"/>
          </w:tcPr>
          <w:p w14:paraId="48465696">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医保结算管理</w:t>
            </w:r>
          </w:p>
        </w:tc>
        <w:tc>
          <w:tcPr>
            <w:tcW w:w="1565" w:type="dxa"/>
            <w:gridSpan w:val="2"/>
            <w:tcBorders>
              <w:top w:val="single" w:color="auto" w:sz="4" w:space="0"/>
              <w:left w:val="nil"/>
              <w:bottom w:val="single" w:color="auto" w:sz="4" w:space="0"/>
              <w:right w:val="single" w:color="auto" w:sz="4" w:space="0"/>
            </w:tcBorders>
            <w:vAlign w:val="center"/>
          </w:tcPr>
          <w:p w14:paraId="4D74981A">
            <w:pPr>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结算导入管理</w:t>
            </w:r>
          </w:p>
        </w:tc>
        <w:tc>
          <w:tcPr>
            <w:tcW w:w="6237" w:type="dxa"/>
            <w:tcBorders>
              <w:top w:val="nil"/>
              <w:left w:val="nil"/>
              <w:bottom w:val="single" w:color="auto" w:sz="4" w:space="0"/>
              <w:right w:val="single" w:color="auto" w:sz="4" w:space="0"/>
            </w:tcBorders>
            <w:vAlign w:val="center"/>
          </w:tcPr>
          <w:p w14:paraId="0CFBEE99">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 支持导入</w:t>
            </w:r>
            <w:r>
              <w:rPr>
                <w:rFonts w:hint="eastAsia" w:ascii="宋体" w:hAnsi="宋体" w:cs="宋体"/>
                <w:color w:val="000000"/>
                <w:kern w:val="0"/>
                <w:sz w:val="24"/>
                <w:szCs w:val="24"/>
                <w:lang w:val="en-US" w:eastAsia="zh-CN"/>
              </w:rPr>
              <w:t>导出</w:t>
            </w:r>
            <w:r>
              <w:rPr>
                <w:rFonts w:hint="eastAsia" w:ascii="宋体" w:hAnsi="宋体" w:cs="宋体"/>
                <w:color w:val="000000"/>
                <w:kern w:val="0"/>
                <w:sz w:val="24"/>
                <w:szCs w:val="24"/>
              </w:rPr>
              <w:t>医保局下发的月度/年度结算单，支持导入后异常数据的手动处理，导入后系统以导入数据为准进行分析；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支持根据不同统筹区灵活设置点值；</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支持根据中位数、均值或自定义等方式录入预测点费；</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支持查看不同月份、年份点费差异和对比。</w:t>
            </w:r>
          </w:p>
        </w:tc>
      </w:tr>
      <w:tr w14:paraId="0C51E4D5">
        <w:tblPrEx>
          <w:tblCellMar>
            <w:top w:w="0" w:type="dxa"/>
            <w:left w:w="108" w:type="dxa"/>
            <w:bottom w:w="0" w:type="dxa"/>
            <w:right w:w="108" w:type="dxa"/>
          </w:tblCellMar>
        </w:tblPrEx>
        <w:tc>
          <w:tcPr>
            <w:tcW w:w="704" w:type="dxa"/>
            <w:vMerge w:val="continue"/>
            <w:tcBorders>
              <w:left w:val="single" w:color="auto" w:sz="4" w:space="0"/>
              <w:right w:val="single" w:color="auto" w:sz="4" w:space="0"/>
            </w:tcBorders>
            <w:vAlign w:val="center"/>
          </w:tcPr>
          <w:p w14:paraId="01C99EE1">
            <w:pPr>
              <w:spacing w:line="276" w:lineRule="auto"/>
              <w:jc w:val="left"/>
              <w:rPr>
                <w:rFonts w:hint="eastAsia" w:ascii="宋体" w:hAnsi="宋体" w:cs="宋体"/>
                <w:color w:val="000000"/>
                <w:kern w:val="0"/>
                <w:sz w:val="24"/>
                <w:szCs w:val="24"/>
              </w:rPr>
            </w:pPr>
          </w:p>
        </w:tc>
        <w:tc>
          <w:tcPr>
            <w:tcW w:w="856" w:type="dxa"/>
            <w:vMerge w:val="restart"/>
            <w:tcBorders>
              <w:top w:val="nil"/>
              <w:left w:val="single" w:color="auto" w:sz="4" w:space="0"/>
              <w:bottom w:val="single" w:color="auto" w:sz="4" w:space="0"/>
              <w:right w:val="single" w:color="auto" w:sz="4" w:space="0"/>
            </w:tcBorders>
            <w:vAlign w:val="center"/>
          </w:tcPr>
          <w:p w14:paraId="2EE0C082">
            <w:pPr>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结算核对</w:t>
            </w:r>
          </w:p>
        </w:tc>
        <w:tc>
          <w:tcPr>
            <w:tcW w:w="709" w:type="dxa"/>
            <w:tcBorders>
              <w:top w:val="nil"/>
              <w:left w:val="nil"/>
              <w:bottom w:val="single" w:color="auto" w:sz="4" w:space="0"/>
              <w:right w:val="single" w:color="auto" w:sz="4" w:space="0"/>
            </w:tcBorders>
            <w:vAlign w:val="center"/>
          </w:tcPr>
          <w:p w14:paraId="7F45F97E">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重点病例分组核对</w:t>
            </w:r>
          </w:p>
        </w:tc>
        <w:tc>
          <w:tcPr>
            <w:tcW w:w="6237" w:type="dxa"/>
            <w:tcBorders>
              <w:top w:val="nil"/>
              <w:left w:val="nil"/>
              <w:bottom w:val="single" w:color="auto" w:sz="4" w:space="0"/>
              <w:right w:val="single" w:color="auto" w:sz="4" w:space="0"/>
            </w:tcBorders>
            <w:vAlign w:val="center"/>
          </w:tcPr>
          <w:p w14:paraId="3A814571">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 支持按分组不一致、含特殊药品耗材、是否已查阅、院内已申诉、病例类型、特殊结算病例等条件筛选，可快速定位重点病例；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支持查看病例</w:t>
            </w:r>
            <w:r>
              <w:rPr>
                <w:rFonts w:hint="eastAsia" w:ascii="宋体" w:hAnsi="宋体" w:cs="宋体"/>
                <w:color w:val="000000"/>
                <w:kern w:val="0"/>
                <w:sz w:val="24"/>
                <w:szCs w:val="24"/>
                <w:lang w:eastAsia="zh-CN"/>
              </w:rPr>
              <w:t>DRGs</w:t>
            </w:r>
            <w:r>
              <w:rPr>
                <w:rFonts w:hint="eastAsia" w:ascii="宋体" w:hAnsi="宋体" w:cs="宋体"/>
                <w:color w:val="000000"/>
                <w:kern w:val="0"/>
                <w:sz w:val="24"/>
                <w:szCs w:val="24"/>
              </w:rPr>
              <w:t>预分组与医保结算分组对比，支持查看诊断/手术、费用明细、病历文书等数据，用于核对分组，判断是否需要申诉；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支持大数据模拟分组，通过调整主诊断、次诊断、主手术、次手术进行模拟分组；</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 支持按科室统计超支结余，表格字段用户自定义显示与排列，包含表头字段是否显示以及固定列设置，支持列表数据下载；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 提供医保分组与预测分组一致率的统计。</w:t>
            </w:r>
          </w:p>
        </w:tc>
      </w:tr>
      <w:tr w14:paraId="2870456D">
        <w:tblPrEx>
          <w:tblCellMar>
            <w:top w:w="0" w:type="dxa"/>
            <w:left w:w="108" w:type="dxa"/>
            <w:bottom w:w="0" w:type="dxa"/>
            <w:right w:w="108" w:type="dxa"/>
          </w:tblCellMar>
        </w:tblPrEx>
        <w:tc>
          <w:tcPr>
            <w:tcW w:w="704" w:type="dxa"/>
            <w:vMerge w:val="continue"/>
            <w:tcBorders>
              <w:left w:val="single" w:color="auto" w:sz="4" w:space="0"/>
              <w:bottom w:val="single" w:color="auto" w:sz="4" w:space="0"/>
              <w:right w:val="single" w:color="auto" w:sz="4" w:space="0"/>
            </w:tcBorders>
            <w:vAlign w:val="center"/>
          </w:tcPr>
          <w:p w14:paraId="3CC47E9E">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593A58ED">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2E725AA9">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病例申诉</w:t>
            </w:r>
          </w:p>
        </w:tc>
        <w:tc>
          <w:tcPr>
            <w:tcW w:w="6237" w:type="dxa"/>
            <w:tcBorders>
              <w:top w:val="nil"/>
              <w:left w:val="nil"/>
              <w:bottom w:val="single" w:color="auto" w:sz="4" w:space="0"/>
              <w:right w:val="single" w:color="auto" w:sz="4" w:space="0"/>
            </w:tcBorders>
            <w:vAlign w:val="center"/>
          </w:tcPr>
          <w:p w14:paraId="740CC1B5">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 支持病例申诉流程，支持医生填写申诉资料及上传图片，支持医保办对申诉进行修改、确认操作；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 支持查看与下载病例申诉汇总；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 申诉反馈：支持查看申诉前后分组数据对比。</w:t>
            </w:r>
          </w:p>
        </w:tc>
      </w:tr>
      <w:tr w14:paraId="2F3EAC2E">
        <w:tblPrEx>
          <w:tblCellMar>
            <w:top w:w="0" w:type="dxa"/>
            <w:left w:w="108" w:type="dxa"/>
            <w:bottom w:w="0" w:type="dxa"/>
            <w:right w:w="108" w:type="dxa"/>
          </w:tblCellMar>
        </w:tblPrEx>
        <w:tc>
          <w:tcPr>
            <w:tcW w:w="704" w:type="dxa"/>
            <w:vMerge w:val="restart"/>
            <w:tcBorders>
              <w:top w:val="nil"/>
              <w:left w:val="single" w:color="auto" w:sz="4" w:space="0"/>
              <w:bottom w:val="single" w:color="auto" w:sz="4" w:space="0"/>
              <w:right w:val="single" w:color="auto" w:sz="4" w:space="0"/>
            </w:tcBorders>
            <w:vAlign w:val="center"/>
          </w:tcPr>
          <w:p w14:paraId="7624260F">
            <w:pPr>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系统管理</w:t>
            </w:r>
          </w:p>
        </w:tc>
        <w:tc>
          <w:tcPr>
            <w:tcW w:w="856" w:type="dxa"/>
            <w:vMerge w:val="restart"/>
            <w:tcBorders>
              <w:top w:val="nil"/>
              <w:left w:val="single" w:color="auto" w:sz="4" w:space="0"/>
              <w:bottom w:val="single" w:color="auto" w:sz="4" w:space="0"/>
              <w:right w:val="single" w:color="auto" w:sz="4" w:space="0"/>
            </w:tcBorders>
            <w:vAlign w:val="center"/>
          </w:tcPr>
          <w:p w14:paraId="63D507E1">
            <w:pPr>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系统设置</w:t>
            </w:r>
          </w:p>
        </w:tc>
        <w:tc>
          <w:tcPr>
            <w:tcW w:w="709" w:type="dxa"/>
            <w:tcBorders>
              <w:top w:val="nil"/>
              <w:left w:val="nil"/>
              <w:bottom w:val="single" w:color="auto" w:sz="4" w:space="0"/>
              <w:right w:val="single" w:color="auto" w:sz="4" w:space="0"/>
            </w:tcBorders>
            <w:vAlign w:val="center"/>
          </w:tcPr>
          <w:p w14:paraId="7E9C3B72">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费用构成规则设置</w:t>
            </w:r>
          </w:p>
        </w:tc>
        <w:tc>
          <w:tcPr>
            <w:tcW w:w="6237" w:type="dxa"/>
            <w:tcBorders>
              <w:top w:val="nil"/>
              <w:left w:val="nil"/>
              <w:bottom w:val="single" w:color="auto" w:sz="4" w:space="0"/>
              <w:right w:val="single" w:color="auto" w:sz="4" w:space="0"/>
            </w:tcBorders>
            <w:vAlign w:val="center"/>
          </w:tcPr>
          <w:p w14:paraId="4AA17628">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支持自定义设置费用分类，系统根据该分类进行费用相关指标的统计和分析。</w:t>
            </w:r>
          </w:p>
        </w:tc>
      </w:tr>
      <w:tr w14:paraId="459703AE">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12603DC6">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112E9F56">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44A367E1">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风险审核规则</w:t>
            </w:r>
          </w:p>
        </w:tc>
        <w:tc>
          <w:tcPr>
            <w:tcW w:w="6237" w:type="dxa"/>
            <w:tcBorders>
              <w:top w:val="nil"/>
              <w:left w:val="nil"/>
              <w:bottom w:val="single" w:color="auto" w:sz="4" w:space="0"/>
              <w:right w:val="single" w:color="auto" w:sz="4" w:space="0"/>
            </w:tcBorders>
            <w:vAlign w:val="center"/>
          </w:tcPr>
          <w:p w14:paraId="4BD50113">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支持自定义设置费用异常、不合理入院、再入院、体检入院等预警病例的条件。</w:t>
            </w:r>
          </w:p>
        </w:tc>
      </w:tr>
      <w:tr w14:paraId="2298FBF8">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4D74F284">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1A8896A9">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050889AB">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结算单导入设置</w:t>
            </w:r>
          </w:p>
        </w:tc>
        <w:tc>
          <w:tcPr>
            <w:tcW w:w="6237" w:type="dxa"/>
            <w:tcBorders>
              <w:top w:val="nil"/>
              <w:left w:val="nil"/>
              <w:bottom w:val="single" w:color="auto" w:sz="4" w:space="0"/>
              <w:right w:val="single" w:color="auto" w:sz="4" w:space="0"/>
            </w:tcBorders>
            <w:vAlign w:val="center"/>
          </w:tcPr>
          <w:p w14:paraId="33962868">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支持结算导入字段映射和处理。</w:t>
            </w:r>
          </w:p>
        </w:tc>
      </w:tr>
      <w:tr w14:paraId="4F0F1FC7">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620718EE">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4554595F">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4FF57577">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标杆设置</w:t>
            </w:r>
          </w:p>
        </w:tc>
        <w:tc>
          <w:tcPr>
            <w:tcW w:w="6237" w:type="dxa"/>
            <w:tcBorders>
              <w:top w:val="nil"/>
              <w:left w:val="nil"/>
              <w:bottom w:val="single" w:color="auto" w:sz="4" w:space="0"/>
              <w:right w:val="single" w:color="auto" w:sz="4" w:space="0"/>
            </w:tcBorders>
            <w:vAlign w:val="center"/>
          </w:tcPr>
          <w:p w14:paraId="16A83BE9">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支持自定义设置病组和科室的标杆值。</w:t>
            </w:r>
          </w:p>
        </w:tc>
      </w:tr>
      <w:tr w14:paraId="5176F268">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1242EFBC">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2CF3BBFE">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1D7FB7B2">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事中费用预警设置</w:t>
            </w:r>
          </w:p>
        </w:tc>
        <w:tc>
          <w:tcPr>
            <w:tcW w:w="6237" w:type="dxa"/>
            <w:tcBorders>
              <w:top w:val="nil"/>
              <w:left w:val="nil"/>
              <w:bottom w:val="single" w:color="auto" w:sz="4" w:space="0"/>
              <w:right w:val="single" w:color="auto" w:sz="4" w:space="0"/>
            </w:tcBorders>
            <w:vAlign w:val="center"/>
          </w:tcPr>
          <w:p w14:paraId="47B6F8E3">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支持自定义高倍预警、低倍预警、超支风险三类费用预警的规则与生效范围。</w:t>
            </w:r>
          </w:p>
        </w:tc>
      </w:tr>
      <w:tr w14:paraId="279DAC15">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5B3E66BB">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03F803CE">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5CB6B094">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病例详情设置</w:t>
            </w:r>
          </w:p>
        </w:tc>
        <w:tc>
          <w:tcPr>
            <w:tcW w:w="6237" w:type="dxa"/>
            <w:tcBorders>
              <w:top w:val="nil"/>
              <w:left w:val="nil"/>
              <w:bottom w:val="single" w:color="auto" w:sz="4" w:space="0"/>
              <w:right w:val="single" w:color="auto" w:sz="4" w:space="0"/>
            </w:tcBorders>
            <w:vAlign w:val="center"/>
          </w:tcPr>
          <w:p w14:paraId="67A10730">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支持自定义病例详情控费进度条的展示形式，以及详情页的字段信息、指标展示。</w:t>
            </w:r>
          </w:p>
        </w:tc>
      </w:tr>
      <w:tr w14:paraId="3C1C4683">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66DF6DD4">
            <w:pPr>
              <w:spacing w:line="276" w:lineRule="auto"/>
              <w:jc w:val="left"/>
              <w:rPr>
                <w:rFonts w:hint="eastAsia" w:ascii="宋体" w:hAnsi="宋体" w:cs="宋体"/>
                <w:color w:val="000000"/>
                <w:kern w:val="0"/>
                <w:sz w:val="24"/>
                <w:szCs w:val="24"/>
              </w:rPr>
            </w:pPr>
          </w:p>
        </w:tc>
        <w:tc>
          <w:tcPr>
            <w:tcW w:w="856" w:type="dxa"/>
            <w:vMerge w:val="continue"/>
            <w:tcBorders>
              <w:top w:val="nil"/>
              <w:left w:val="single" w:color="auto" w:sz="4" w:space="0"/>
              <w:bottom w:val="single" w:color="auto" w:sz="4" w:space="0"/>
              <w:right w:val="single" w:color="auto" w:sz="4" w:space="0"/>
            </w:tcBorders>
            <w:vAlign w:val="center"/>
          </w:tcPr>
          <w:p w14:paraId="248553CE">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29ECCDFE">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特殊结算方式设置</w:t>
            </w:r>
          </w:p>
        </w:tc>
        <w:tc>
          <w:tcPr>
            <w:tcW w:w="6237" w:type="dxa"/>
            <w:tcBorders>
              <w:top w:val="nil"/>
              <w:left w:val="nil"/>
              <w:bottom w:val="single" w:color="auto" w:sz="4" w:space="0"/>
              <w:right w:val="single" w:color="auto" w:sz="4" w:space="0"/>
            </w:tcBorders>
            <w:vAlign w:val="center"/>
          </w:tcPr>
          <w:p w14:paraId="7CA76009">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支持自定义事中监测优先按点数最高预测、优先按病组预测、优先按床日预测等，开关按床日结算预测和中医预测结算。</w:t>
            </w:r>
          </w:p>
        </w:tc>
      </w:tr>
      <w:tr w14:paraId="4312571D">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23C9D234">
            <w:pPr>
              <w:spacing w:line="276" w:lineRule="auto"/>
              <w:jc w:val="left"/>
              <w:rPr>
                <w:rFonts w:hint="eastAsia" w:ascii="宋体" w:hAnsi="宋体" w:cs="宋体"/>
                <w:color w:val="000000"/>
                <w:kern w:val="0"/>
                <w:sz w:val="24"/>
                <w:szCs w:val="24"/>
              </w:rPr>
            </w:pPr>
          </w:p>
        </w:tc>
        <w:tc>
          <w:tcPr>
            <w:tcW w:w="856" w:type="dxa"/>
            <w:vMerge w:val="restart"/>
            <w:tcBorders>
              <w:top w:val="nil"/>
              <w:left w:val="single" w:color="auto" w:sz="4" w:space="0"/>
              <w:right w:val="single" w:color="auto" w:sz="4" w:space="0"/>
            </w:tcBorders>
            <w:vAlign w:val="center"/>
          </w:tcPr>
          <w:p w14:paraId="1091DABA">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账号权限管理</w:t>
            </w:r>
          </w:p>
        </w:tc>
        <w:tc>
          <w:tcPr>
            <w:tcW w:w="709" w:type="dxa"/>
            <w:tcBorders>
              <w:top w:val="nil"/>
              <w:left w:val="nil"/>
              <w:bottom w:val="single" w:color="auto" w:sz="4" w:space="0"/>
              <w:right w:val="single" w:color="auto" w:sz="4" w:space="0"/>
            </w:tcBorders>
            <w:vAlign w:val="center"/>
          </w:tcPr>
          <w:p w14:paraId="4680D023">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管理科室设置</w:t>
            </w:r>
          </w:p>
        </w:tc>
        <w:tc>
          <w:tcPr>
            <w:tcW w:w="6237" w:type="dxa"/>
            <w:tcBorders>
              <w:top w:val="nil"/>
              <w:left w:val="nil"/>
              <w:bottom w:val="single" w:color="auto" w:sz="4" w:space="0"/>
              <w:right w:val="single" w:color="auto" w:sz="4" w:space="0"/>
            </w:tcBorders>
            <w:vAlign w:val="center"/>
          </w:tcPr>
          <w:p w14:paraId="56BD9BE4">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支持按出院科室设置大科室，满足医院二级科室管理。</w:t>
            </w:r>
          </w:p>
        </w:tc>
      </w:tr>
      <w:tr w14:paraId="365F0403">
        <w:tblPrEx>
          <w:tblCellMar>
            <w:top w:w="0" w:type="dxa"/>
            <w:left w:w="108" w:type="dxa"/>
            <w:bottom w:w="0" w:type="dxa"/>
            <w:right w:w="108" w:type="dxa"/>
          </w:tblCellMar>
        </w:tblPrEx>
        <w:tc>
          <w:tcPr>
            <w:tcW w:w="704" w:type="dxa"/>
            <w:vMerge w:val="continue"/>
            <w:tcBorders>
              <w:top w:val="nil"/>
              <w:left w:val="single" w:color="auto" w:sz="4" w:space="0"/>
              <w:bottom w:val="single" w:color="auto" w:sz="4" w:space="0"/>
              <w:right w:val="single" w:color="auto" w:sz="4" w:space="0"/>
            </w:tcBorders>
            <w:vAlign w:val="center"/>
          </w:tcPr>
          <w:p w14:paraId="31A4D2D8">
            <w:pPr>
              <w:spacing w:line="276" w:lineRule="auto"/>
              <w:jc w:val="left"/>
              <w:rPr>
                <w:rFonts w:hint="eastAsia" w:ascii="宋体" w:hAnsi="宋体" w:cs="宋体"/>
                <w:color w:val="000000"/>
                <w:kern w:val="0"/>
                <w:sz w:val="24"/>
                <w:szCs w:val="24"/>
              </w:rPr>
            </w:pPr>
          </w:p>
        </w:tc>
        <w:tc>
          <w:tcPr>
            <w:tcW w:w="856" w:type="dxa"/>
            <w:vMerge w:val="continue"/>
            <w:tcBorders>
              <w:left w:val="single" w:color="auto" w:sz="4" w:space="0"/>
              <w:bottom w:val="single" w:color="auto" w:sz="4" w:space="0"/>
              <w:right w:val="single" w:color="auto" w:sz="4" w:space="0"/>
            </w:tcBorders>
            <w:vAlign w:val="center"/>
          </w:tcPr>
          <w:p w14:paraId="1B39841C">
            <w:pPr>
              <w:spacing w:line="276" w:lineRule="auto"/>
              <w:jc w:val="left"/>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vAlign w:val="center"/>
          </w:tcPr>
          <w:p w14:paraId="088DDF45">
            <w:pPr>
              <w:spacing w:line="276" w:lineRule="auto"/>
              <w:jc w:val="left"/>
              <w:rPr>
                <w:rFonts w:hint="eastAsia" w:ascii="宋体" w:hAnsi="宋体" w:cs="宋体"/>
                <w:kern w:val="0"/>
                <w:sz w:val="24"/>
                <w:szCs w:val="24"/>
              </w:rPr>
            </w:pPr>
            <w:r>
              <w:rPr>
                <w:rFonts w:hint="eastAsia" w:ascii="宋体" w:hAnsi="宋体" w:cs="宋体"/>
                <w:kern w:val="0"/>
                <w:sz w:val="24"/>
                <w:szCs w:val="24"/>
              </w:rPr>
              <w:t>角色与数据权限</w:t>
            </w:r>
          </w:p>
        </w:tc>
        <w:tc>
          <w:tcPr>
            <w:tcW w:w="6237" w:type="dxa"/>
            <w:tcBorders>
              <w:top w:val="nil"/>
              <w:left w:val="nil"/>
              <w:bottom w:val="single" w:color="auto" w:sz="4" w:space="0"/>
              <w:right w:val="single" w:color="auto" w:sz="4" w:space="0"/>
            </w:tcBorders>
            <w:vAlign w:val="center"/>
          </w:tcPr>
          <w:p w14:paraId="45BB1D47">
            <w:pPr>
              <w:spacing w:line="276"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支持根据医院需要，按照院级、科级、医生不同角色设置菜单和数据权限。</w:t>
            </w:r>
          </w:p>
        </w:tc>
      </w:tr>
      <w:bookmarkEnd w:id="4"/>
    </w:tbl>
    <w:p w14:paraId="3E64C6DC">
      <w:pPr>
        <w:pStyle w:val="2"/>
      </w:pPr>
    </w:p>
    <w:p w14:paraId="39C2F45F">
      <w:pPr>
        <w:pStyle w:val="6"/>
        <w:numPr>
          <w:ilvl w:val="3"/>
          <w:numId w:val="0"/>
        </w:numPr>
        <w:ind w:left="0" w:firstLine="0"/>
      </w:pPr>
      <w:r>
        <w:rPr>
          <w:rFonts w:hint="eastAsia"/>
          <w:lang w:eastAsia="zh-CN"/>
        </w:rPr>
        <w:t>（</w:t>
      </w:r>
      <w:r>
        <w:rPr>
          <w:rFonts w:hint="eastAsia"/>
          <w:lang w:val="en-US" w:eastAsia="zh-CN"/>
        </w:rPr>
        <w:t>2</w:t>
      </w:r>
      <w:r>
        <w:rPr>
          <w:rFonts w:hint="eastAsia"/>
          <w:lang w:eastAsia="zh-CN"/>
        </w:rPr>
        <w:t>）</w:t>
      </w:r>
      <w:r>
        <w:rPr>
          <w:rFonts w:hint="eastAsia"/>
        </w:rPr>
        <w:t>医保</w:t>
      </w:r>
      <w:r>
        <w:rPr>
          <w:rFonts w:hint="eastAsia"/>
          <w:lang w:val="en-US" w:eastAsia="zh-CN"/>
        </w:rPr>
        <w:t>DRGs</w:t>
      </w:r>
      <w:r>
        <w:rPr>
          <w:rFonts w:hint="eastAsia"/>
        </w:rPr>
        <w:t>结算清单管理系统服务</w:t>
      </w:r>
    </w:p>
    <w:tbl>
      <w:tblPr>
        <w:tblStyle w:val="34"/>
        <w:tblW w:w="850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34"/>
        <w:gridCol w:w="6379"/>
      </w:tblGrid>
      <w:tr w14:paraId="2D7D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93" w:type="dxa"/>
            <w:vAlign w:val="center"/>
          </w:tcPr>
          <w:p w14:paraId="2F5267BC">
            <w:pPr>
              <w:jc w:val="center"/>
              <w:rPr>
                <w:rFonts w:hint="eastAsia" w:ascii="宋体" w:hAnsi="宋体" w:cs="宋体"/>
                <w:b/>
                <w:bCs/>
                <w:kern w:val="0"/>
                <w:sz w:val="24"/>
                <w:szCs w:val="24"/>
              </w:rPr>
            </w:pPr>
            <w:r>
              <w:rPr>
                <w:rFonts w:hint="eastAsia" w:ascii="宋体" w:hAnsi="宋体" w:cs="宋体"/>
                <w:b/>
                <w:bCs/>
                <w:kern w:val="0"/>
                <w:sz w:val="24"/>
                <w:szCs w:val="24"/>
              </w:rPr>
              <w:t>模块</w:t>
            </w:r>
          </w:p>
        </w:tc>
        <w:tc>
          <w:tcPr>
            <w:tcW w:w="1134" w:type="dxa"/>
            <w:vAlign w:val="center"/>
          </w:tcPr>
          <w:p w14:paraId="076250EC">
            <w:pPr>
              <w:jc w:val="center"/>
              <w:rPr>
                <w:rFonts w:hint="eastAsia" w:ascii="宋体" w:hAnsi="宋体" w:cs="宋体"/>
                <w:b/>
                <w:bCs/>
                <w:kern w:val="0"/>
                <w:sz w:val="24"/>
                <w:szCs w:val="24"/>
              </w:rPr>
            </w:pPr>
            <w:r>
              <w:rPr>
                <w:rFonts w:hint="eastAsia" w:ascii="宋体" w:hAnsi="宋体" w:cs="宋体"/>
                <w:b/>
                <w:bCs/>
                <w:kern w:val="0"/>
                <w:sz w:val="24"/>
                <w:szCs w:val="24"/>
              </w:rPr>
              <w:t>功能点</w:t>
            </w:r>
          </w:p>
        </w:tc>
        <w:tc>
          <w:tcPr>
            <w:tcW w:w="6379" w:type="dxa"/>
            <w:vAlign w:val="center"/>
          </w:tcPr>
          <w:p w14:paraId="61C714FF">
            <w:pPr>
              <w:jc w:val="center"/>
              <w:rPr>
                <w:rFonts w:hint="eastAsia" w:ascii="宋体" w:hAnsi="宋体" w:cs="宋体"/>
                <w:b/>
                <w:bCs/>
                <w:kern w:val="0"/>
                <w:sz w:val="24"/>
                <w:szCs w:val="24"/>
              </w:rPr>
            </w:pPr>
            <w:r>
              <w:rPr>
                <w:rFonts w:hint="eastAsia" w:ascii="宋体" w:hAnsi="宋体" w:cs="宋体"/>
                <w:b/>
                <w:bCs/>
                <w:kern w:val="0"/>
                <w:sz w:val="24"/>
                <w:szCs w:val="24"/>
              </w:rPr>
              <w:t>功能说明</w:t>
            </w:r>
          </w:p>
        </w:tc>
      </w:tr>
      <w:tr w14:paraId="4EB0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vAlign w:val="center"/>
          </w:tcPr>
          <w:p w14:paraId="3D271218">
            <w:pPr>
              <w:spacing w:line="276" w:lineRule="auto"/>
              <w:jc w:val="center"/>
              <w:rPr>
                <w:rFonts w:hint="eastAsia" w:ascii="宋体" w:hAnsi="宋体" w:cs="宋体"/>
                <w:kern w:val="0"/>
                <w:sz w:val="24"/>
                <w:szCs w:val="24"/>
              </w:rPr>
            </w:pPr>
            <w:r>
              <w:rPr>
                <w:rFonts w:hint="eastAsia" w:ascii="宋体" w:hAnsi="宋体" w:cs="宋体"/>
                <w:kern w:val="0"/>
                <w:sz w:val="24"/>
                <w:szCs w:val="24"/>
              </w:rPr>
              <w:t>清单任务总览</w:t>
            </w:r>
          </w:p>
        </w:tc>
        <w:tc>
          <w:tcPr>
            <w:tcW w:w="1134" w:type="dxa"/>
            <w:vAlign w:val="center"/>
          </w:tcPr>
          <w:p w14:paraId="1EEE009B">
            <w:pPr>
              <w:spacing w:line="276" w:lineRule="auto"/>
              <w:jc w:val="center"/>
              <w:rPr>
                <w:rFonts w:hint="eastAsia" w:ascii="宋体" w:hAnsi="宋体" w:cs="宋体"/>
                <w:kern w:val="0"/>
                <w:sz w:val="24"/>
                <w:szCs w:val="24"/>
              </w:rPr>
            </w:pPr>
            <w:r>
              <w:rPr>
                <w:rFonts w:hint="eastAsia" w:ascii="宋体" w:hAnsi="宋体" w:cs="宋体"/>
                <w:kern w:val="0"/>
                <w:sz w:val="24"/>
                <w:szCs w:val="24"/>
              </w:rPr>
              <w:t>管理指标统计</w:t>
            </w:r>
          </w:p>
        </w:tc>
        <w:tc>
          <w:tcPr>
            <w:tcW w:w="6379" w:type="dxa"/>
            <w:vAlign w:val="center"/>
          </w:tcPr>
          <w:p w14:paraId="2B9A04A4">
            <w:pPr>
              <w:spacing w:line="276" w:lineRule="auto"/>
              <w:jc w:val="left"/>
              <w:rPr>
                <w:rFonts w:hint="eastAsia" w:ascii="宋体" w:hAnsi="宋体" w:cs="宋体"/>
                <w:kern w:val="0"/>
                <w:sz w:val="24"/>
                <w:szCs w:val="24"/>
              </w:rPr>
            </w:pPr>
            <w:r>
              <w:rPr>
                <w:rFonts w:hint="eastAsia" w:ascii="宋体" w:hAnsi="宋体" w:cs="宋体"/>
                <w:kern w:val="0"/>
                <w:sz w:val="24"/>
                <w:szCs w:val="24"/>
              </w:rPr>
              <w:t>1) 支持统计筛选时间段内的审核完成率、首次上报合格率。</w:t>
            </w:r>
          </w:p>
        </w:tc>
      </w:tr>
      <w:tr w14:paraId="2EF3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6E18CD57">
            <w:pPr>
              <w:spacing w:line="276" w:lineRule="auto"/>
              <w:jc w:val="left"/>
              <w:rPr>
                <w:rFonts w:hint="eastAsia" w:ascii="宋体" w:hAnsi="宋体" w:cs="宋体"/>
                <w:kern w:val="0"/>
                <w:sz w:val="24"/>
                <w:szCs w:val="24"/>
              </w:rPr>
            </w:pPr>
          </w:p>
        </w:tc>
        <w:tc>
          <w:tcPr>
            <w:tcW w:w="1134" w:type="dxa"/>
            <w:vAlign w:val="center"/>
          </w:tcPr>
          <w:p w14:paraId="488A765F">
            <w:pPr>
              <w:spacing w:line="276" w:lineRule="auto"/>
              <w:jc w:val="center"/>
              <w:rPr>
                <w:rFonts w:hint="eastAsia" w:ascii="宋体" w:hAnsi="宋体" w:cs="宋体"/>
                <w:kern w:val="0"/>
                <w:sz w:val="24"/>
                <w:szCs w:val="24"/>
              </w:rPr>
            </w:pPr>
            <w:r>
              <w:rPr>
                <w:rFonts w:hint="eastAsia" w:ascii="宋体" w:hAnsi="宋体" w:cs="宋体"/>
                <w:kern w:val="0"/>
                <w:sz w:val="24"/>
                <w:szCs w:val="24"/>
              </w:rPr>
              <w:t>清单任务统计</w:t>
            </w:r>
          </w:p>
        </w:tc>
        <w:tc>
          <w:tcPr>
            <w:tcW w:w="6379" w:type="dxa"/>
            <w:vAlign w:val="center"/>
          </w:tcPr>
          <w:p w14:paraId="02EBE66B">
            <w:pPr>
              <w:spacing w:line="276" w:lineRule="auto"/>
              <w:jc w:val="left"/>
              <w:rPr>
                <w:rFonts w:hint="eastAsia" w:ascii="宋体" w:hAnsi="宋体" w:cs="宋体"/>
                <w:kern w:val="0"/>
                <w:sz w:val="24"/>
                <w:szCs w:val="24"/>
              </w:rPr>
            </w:pPr>
            <w:r>
              <w:rPr>
                <w:rFonts w:hint="eastAsia" w:ascii="宋体" w:hAnsi="宋体" w:cs="宋体"/>
                <w:kern w:val="0"/>
                <w:sz w:val="24"/>
                <w:szCs w:val="24"/>
              </w:rPr>
              <w:t>1) 支持展示已生成清单的数量，包含通过病案首页数据生成的清单数量和对特殊患者自动补充生产的清单数量。</w:t>
            </w:r>
            <w:r>
              <w:rPr>
                <w:rFonts w:hint="eastAsia" w:ascii="宋体" w:hAnsi="宋体" w:cs="宋体"/>
                <w:kern w:val="0"/>
                <w:sz w:val="24"/>
                <w:szCs w:val="24"/>
              </w:rPr>
              <w:br w:type="textWrapping"/>
            </w:r>
            <w:r>
              <w:rPr>
                <w:rFonts w:hint="eastAsia" w:ascii="宋体" w:hAnsi="宋体" w:cs="宋体"/>
                <w:kern w:val="0"/>
                <w:sz w:val="24"/>
                <w:szCs w:val="24"/>
              </w:rPr>
              <w:t>2) 支持根据医院实际配置的审核流程节点，分别展示清单初审、清单复审、清单终审任务节点中具体的清单审核状态及数量，支持下钻到对应清单列表。</w:t>
            </w:r>
            <w:r>
              <w:rPr>
                <w:rFonts w:hint="eastAsia" w:ascii="宋体" w:hAnsi="宋体" w:cs="宋体"/>
                <w:kern w:val="0"/>
                <w:sz w:val="24"/>
                <w:szCs w:val="24"/>
              </w:rPr>
              <w:br w:type="textWrapping"/>
            </w:r>
            <w:r>
              <w:rPr>
                <w:rFonts w:hint="eastAsia" w:ascii="宋体" w:hAnsi="宋体" w:cs="宋体"/>
                <w:kern w:val="0"/>
                <w:sz w:val="24"/>
                <w:szCs w:val="24"/>
              </w:rPr>
              <w:t>3) 支持按院内结算日期、出院日期统计筛选时间段内以上清单的数量及状态。</w:t>
            </w:r>
          </w:p>
        </w:tc>
      </w:tr>
      <w:tr w14:paraId="6C8F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vAlign w:val="center"/>
          </w:tcPr>
          <w:p w14:paraId="467AE9E0">
            <w:pPr>
              <w:spacing w:line="276" w:lineRule="auto"/>
              <w:jc w:val="center"/>
              <w:rPr>
                <w:rFonts w:hint="eastAsia" w:ascii="宋体" w:hAnsi="宋体" w:cs="宋体"/>
                <w:kern w:val="0"/>
                <w:sz w:val="24"/>
                <w:szCs w:val="24"/>
              </w:rPr>
            </w:pPr>
            <w:r>
              <w:rPr>
                <w:rFonts w:hint="eastAsia" w:ascii="宋体" w:hAnsi="宋体" w:cs="宋体"/>
                <w:kern w:val="0"/>
                <w:sz w:val="24"/>
                <w:szCs w:val="24"/>
              </w:rPr>
              <w:t>上报前清单审核</w:t>
            </w:r>
          </w:p>
        </w:tc>
        <w:tc>
          <w:tcPr>
            <w:tcW w:w="1134" w:type="dxa"/>
            <w:vAlign w:val="center"/>
          </w:tcPr>
          <w:p w14:paraId="746B22A5">
            <w:pPr>
              <w:spacing w:line="276" w:lineRule="auto"/>
              <w:jc w:val="center"/>
              <w:rPr>
                <w:rFonts w:hint="eastAsia" w:ascii="宋体" w:hAnsi="宋体" w:cs="宋体"/>
                <w:kern w:val="0"/>
                <w:sz w:val="24"/>
                <w:szCs w:val="24"/>
              </w:rPr>
            </w:pPr>
            <w:r>
              <w:rPr>
                <w:rFonts w:hint="eastAsia" w:ascii="宋体" w:hAnsi="宋体" w:cs="宋体"/>
                <w:kern w:val="0"/>
                <w:sz w:val="24"/>
                <w:szCs w:val="24"/>
              </w:rPr>
              <w:t>清单生成</w:t>
            </w:r>
          </w:p>
        </w:tc>
        <w:tc>
          <w:tcPr>
            <w:tcW w:w="6379" w:type="dxa"/>
            <w:vAlign w:val="center"/>
          </w:tcPr>
          <w:p w14:paraId="4D1CFFD6">
            <w:pPr>
              <w:spacing w:line="276" w:lineRule="auto"/>
              <w:jc w:val="left"/>
              <w:rPr>
                <w:rFonts w:hint="eastAsia" w:ascii="宋体" w:hAnsi="宋体" w:cs="宋体"/>
                <w:kern w:val="0"/>
                <w:sz w:val="24"/>
                <w:szCs w:val="24"/>
              </w:rPr>
            </w:pPr>
            <w:r>
              <w:rPr>
                <w:rFonts w:hint="eastAsia" w:ascii="宋体" w:hAnsi="宋体" w:cs="宋体"/>
                <w:kern w:val="0"/>
                <w:sz w:val="24"/>
                <w:szCs w:val="24"/>
              </w:rPr>
              <w:t>1) 支持自动获取医院各系统相关数据，生成待审核结算清单，自动对结算清单进行全量质检质控；</w:t>
            </w:r>
            <w:r>
              <w:rPr>
                <w:rFonts w:hint="eastAsia" w:ascii="宋体" w:hAnsi="宋体" w:cs="宋体"/>
                <w:kern w:val="0"/>
                <w:sz w:val="24"/>
                <w:szCs w:val="24"/>
              </w:rPr>
              <w:br w:type="textWrapping"/>
            </w:r>
            <w:r>
              <w:rPr>
                <w:rFonts w:hint="eastAsia" w:ascii="宋体" w:hAnsi="宋体" w:cs="宋体"/>
                <w:kern w:val="0"/>
                <w:sz w:val="24"/>
                <w:szCs w:val="24"/>
              </w:rPr>
              <w:t>2) 支持对血液透析的患者自动生成结算清单，对于母婴同室的婴儿自动拆分结算清单，并提供全量质检质控；</w:t>
            </w:r>
          </w:p>
        </w:tc>
      </w:tr>
      <w:tr w14:paraId="02E2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5D99968E">
            <w:pPr>
              <w:spacing w:line="276" w:lineRule="auto"/>
              <w:jc w:val="left"/>
              <w:rPr>
                <w:rFonts w:hint="eastAsia" w:ascii="宋体" w:hAnsi="宋体" w:cs="宋体"/>
                <w:kern w:val="0"/>
                <w:sz w:val="24"/>
                <w:szCs w:val="24"/>
              </w:rPr>
            </w:pPr>
          </w:p>
        </w:tc>
        <w:tc>
          <w:tcPr>
            <w:tcW w:w="1134" w:type="dxa"/>
            <w:vAlign w:val="center"/>
          </w:tcPr>
          <w:p w14:paraId="6831A185">
            <w:pPr>
              <w:spacing w:line="276" w:lineRule="auto"/>
              <w:jc w:val="center"/>
              <w:rPr>
                <w:rFonts w:hint="eastAsia" w:ascii="宋体" w:hAnsi="宋体" w:cs="宋体"/>
                <w:kern w:val="0"/>
                <w:sz w:val="24"/>
                <w:szCs w:val="24"/>
              </w:rPr>
            </w:pPr>
            <w:r>
              <w:rPr>
                <w:rFonts w:hint="eastAsia" w:ascii="宋体" w:hAnsi="宋体" w:cs="宋体"/>
                <w:kern w:val="0"/>
                <w:sz w:val="24"/>
                <w:szCs w:val="24"/>
              </w:rPr>
              <w:t>清单操作</w:t>
            </w:r>
          </w:p>
        </w:tc>
        <w:tc>
          <w:tcPr>
            <w:tcW w:w="6379" w:type="dxa"/>
            <w:vAlign w:val="center"/>
          </w:tcPr>
          <w:p w14:paraId="530E66A6">
            <w:pPr>
              <w:spacing w:line="276" w:lineRule="auto"/>
              <w:jc w:val="left"/>
              <w:rPr>
                <w:rFonts w:hint="eastAsia"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 支持自定义设置清单列表展示数量，如20条/页、50条/页、100条/页；</w:t>
            </w:r>
            <w:r>
              <w:rPr>
                <w:rFonts w:hint="eastAsia" w:ascii="宋体" w:hAnsi="宋体" w:cs="宋体"/>
                <w:kern w:val="0"/>
                <w:sz w:val="24"/>
                <w:szCs w:val="24"/>
              </w:rPr>
              <w:br w:type="textWrapping"/>
            </w:r>
            <w:r>
              <w:rPr>
                <w:rFonts w:ascii="宋体" w:hAnsi="宋体" w:cs="宋体"/>
                <w:kern w:val="0"/>
                <w:sz w:val="24"/>
                <w:szCs w:val="24"/>
              </w:rPr>
              <w:t>2</w:t>
            </w:r>
            <w:r>
              <w:rPr>
                <w:rFonts w:hint="eastAsia" w:ascii="宋体" w:hAnsi="宋体" w:cs="宋体"/>
                <w:kern w:val="0"/>
                <w:sz w:val="24"/>
                <w:szCs w:val="24"/>
              </w:rPr>
              <w:t>) 支持对清单标记疑问病例，并在列表内进行差异化标识展示，支持搜索查询；</w:t>
            </w:r>
            <w:r>
              <w:rPr>
                <w:rFonts w:hint="eastAsia" w:ascii="宋体" w:hAnsi="宋体" w:cs="宋体"/>
                <w:kern w:val="0"/>
                <w:sz w:val="24"/>
                <w:szCs w:val="24"/>
              </w:rPr>
              <w:br w:type="textWrapping"/>
            </w:r>
            <w:r>
              <w:rPr>
                <w:rFonts w:ascii="宋体" w:hAnsi="宋体" w:cs="宋体"/>
                <w:kern w:val="0"/>
                <w:sz w:val="24"/>
                <w:szCs w:val="24"/>
              </w:rPr>
              <w:t>3</w:t>
            </w:r>
            <w:r>
              <w:rPr>
                <w:rFonts w:hint="eastAsia" w:ascii="宋体" w:hAnsi="宋体" w:cs="宋体"/>
                <w:kern w:val="0"/>
                <w:sz w:val="24"/>
                <w:szCs w:val="24"/>
              </w:rPr>
              <w:t>) 支持在列表内对于已读清单和未读清单进行差异化展示，支持搜索查询；</w:t>
            </w:r>
            <w:r>
              <w:rPr>
                <w:rFonts w:hint="eastAsia" w:ascii="宋体" w:hAnsi="宋体" w:cs="宋体"/>
                <w:kern w:val="0"/>
                <w:sz w:val="24"/>
                <w:szCs w:val="24"/>
              </w:rPr>
              <w:br w:type="textWrapping"/>
            </w:r>
            <w:r>
              <w:rPr>
                <w:rFonts w:ascii="宋体" w:hAnsi="宋体" w:cs="宋体"/>
                <w:kern w:val="0"/>
                <w:sz w:val="24"/>
                <w:szCs w:val="24"/>
              </w:rPr>
              <w:t>4</w:t>
            </w:r>
            <w:r>
              <w:rPr>
                <w:rFonts w:hint="eastAsia" w:ascii="宋体" w:hAnsi="宋体" w:cs="宋体"/>
                <w:kern w:val="0"/>
                <w:sz w:val="24"/>
                <w:szCs w:val="24"/>
              </w:rPr>
              <w:t>) 支持对符合再入院条件的患者进行差异化标识展示，支持查看上次住院信息，支持搜索查询；</w:t>
            </w:r>
            <w:r>
              <w:rPr>
                <w:rFonts w:hint="eastAsia" w:ascii="宋体" w:hAnsi="宋体" w:cs="宋体"/>
                <w:kern w:val="0"/>
                <w:sz w:val="24"/>
                <w:szCs w:val="24"/>
              </w:rPr>
              <w:br w:type="textWrapping"/>
            </w:r>
            <w:r>
              <w:rPr>
                <w:rFonts w:ascii="宋体" w:hAnsi="宋体" w:cs="宋体"/>
                <w:kern w:val="0"/>
                <w:sz w:val="24"/>
                <w:szCs w:val="24"/>
              </w:rPr>
              <w:t>5</w:t>
            </w:r>
            <w:r>
              <w:rPr>
                <w:rFonts w:hint="eastAsia" w:ascii="宋体" w:hAnsi="宋体" w:cs="宋体"/>
                <w:kern w:val="0"/>
                <w:sz w:val="24"/>
                <w:szCs w:val="24"/>
              </w:rPr>
              <w:t>) 支持对与病案首页不一致的清单进行标注，支持查看病案首页与结算清单不一致的具体对比情况；</w:t>
            </w:r>
            <w:r>
              <w:rPr>
                <w:rFonts w:hint="eastAsia" w:ascii="宋体" w:hAnsi="宋体" w:cs="宋体"/>
                <w:kern w:val="0"/>
                <w:sz w:val="24"/>
                <w:szCs w:val="24"/>
              </w:rPr>
              <w:br w:type="textWrapping"/>
            </w:r>
            <w:r>
              <w:rPr>
                <w:rFonts w:ascii="宋体" w:hAnsi="宋体" w:cs="宋体"/>
                <w:kern w:val="0"/>
                <w:sz w:val="24"/>
                <w:szCs w:val="24"/>
              </w:rPr>
              <w:t>6</w:t>
            </w:r>
            <w:r>
              <w:rPr>
                <w:rFonts w:hint="eastAsia" w:ascii="宋体" w:hAnsi="宋体" w:cs="宋体"/>
                <w:kern w:val="0"/>
                <w:sz w:val="24"/>
                <w:szCs w:val="24"/>
              </w:rPr>
              <w:t>) 支持查看每份清单的基本信息，包括患者信息、病案号、住院号、住院医师、入组情况、预计结余、病例类型等信息；支持按费用类型查看费用明细，并展示费用分布情况和费用占比。支持对于入组异常患者展示入组解析。</w:t>
            </w:r>
            <w:r>
              <w:rPr>
                <w:rFonts w:hint="eastAsia" w:ascii="宋体" w:hAnsi="宋体" w:cs="宋体"/>
                <w:kern w:val="0"/>
                <w:sz w:val="24"/>
                <w:szCs w:val="24"/>
              </w:rPr>
              <w:br w:type="textWrapping"/>
            </w:r>
            <w:r>
              <w:rPr>
                <w:rFonts w:ascii="宋体" w:hAnsi="宋体" w:cs="宋体"/>
                <w:kern w:val="0"/>
                <w:sz w:val="24"/>
                <w:szCs w:val="24"/>
              </w:rPr>
              <w:t>7</w:t>
            </w:r>
            <w:r>
              <w:rPr>
                <w:rFonts w:hint="eastAsia" w:ascii="宋体" w:hAnsi="宋体" w:cs="宋体"/>
                <w:kern w:val="0"/>
                <w:sz w:val="24"/>
                <w:szCs w:val="24"/>
              </w:rPr>
              <w:t>) 支持按病组结算和床日结算两种结算方式，对于同时符合两种结算方式的患者支持切换结算方式进行对比查看；</w:t>
            </w:r>
            <w:r>
              <w:rPr>
                <w:rFonts w:hint="eastAsia" w:ascii="宋体" w:hAnsi="宋体" w:cs="宋体"/>
                <w:kern w:val="0"/>
                <w:sz w:val="24"/>
                <w:szCs w:val="24"/>
              </w:rPr>
              <w:br w:type="textWrapping"/>
            </w:r>
            <w:r>
              <w:rPr>
                <w:rFonts w:ascii="宋体" w:hAnsi="宋体" w:cs="宋体"/>
                <w:kern w:val="0"/>
                <w:sz w:val="24"/>
                <w:szCs w:val="24"/>
              </w:rPr>
              <w:t>8</w:t>
            </w:r>
            <w:r>
              <w:rPr>
                <w:rFonts w:hint="eastAsia" w:ascii="宋体" w:hAnsi="宋体" w:cs="宋体"/>
                <w:kern w:val="0"/>
                <w:sz w:val="24"/>
                <w:szCs w:val="24"/>
              </w:rPr>
              <w:t>) 支持展示清单质检结果，对不同预警级别差异化展示；支持展示诊断手术信息；支持展示清单批注信息并进行操作；</w:t>
            </w:r>
            <w:r>
              <w:rPr>
                <w:rFonts w:hint="eastAsia" w:ascii="宋体" w:hAnsi="宋体" w:cs="宋体"/>
                <w:kern w:val="0"/>
                <w:sz w:val="24"/>
                <w:szCs w:val="24"/>
              </w:rPr>
              <w:br w:type="textWrapping"/>
            </w:r>
            <w:r>
              <w:rPr>
                <w:rFonts w:ascii="宋体" w:hAnsi="宋体" w:cs="宋体"/>
                <w:kern w:val="0"/>
                <w:sz w:val="24"/>
                <w:szCs w:val="24"/>
              </w:rPr>
              <w:t>9</w:t>
            </w:r>
            <w:r>
              <w:rPr>
                <w:rFonts w:hint="eastAsia" w:ascii="宋体" w:hAnsi="宋体" w:cs="宋体"/>
                <w:kern w:val="0"/>
                <w:sz w:val="24"/>
                <w:szCs w:val="24"/>
              </w:rPr>
              <w:t>) 支持通过大数据分析建立多维度优选策略，在保证清单合规的前提下提供结算更多组合的参考；支持通过大数据对疑似手术缺漏进行提醒，提供对应的优选组合，并对缺漏手术进行差异化标识；</w:t>
            </w:r>
            <w:r>
              <w:rPr>
                <w:rFonts w:hint="eastAsia" w:ascii="宋体" w:hAnsi="宋体" w:cs="宋体"/>
                <w:kern w:val="0"/>
                <w:sz w:val="24"/>
                <w:szCs w:val="24"/>
              </w:rPr>
              <w:br w:type="textWrapping"/>
            </w:r>
            <w:r>
              <w:rPr>
                <w:rFonts w:hint="eastAsia" w:ascii="宋体" w:hAnsi="宋体" w:cs="宋体"/>
                <w:kern w:val="0"/>
                <w:sz w:val="24"/>
                <w:szCs w:val="24"/>
              </w:rPr>
              <w:t>1</w:t>
            </w:r>
            <w:r>
              <w:rPr>
                <w:rFonts w:ascii="宋体" w:hAnsi="宋体" w:cs="宋体"/>
                <w:kern w:val="0"/>
                <w:sz w:val="24"/>
                <w:szCs w:val="24"/>
              </w:rPr>
              <w:t>0</w:t>
            </w:r>
            <w:r>
              <w:rPr>
                <w:rFonts w:hint="eastAsia" w:ascii="宋体" w:hAnsi="宋体" w:cs="宋体"/>
                <w:kern w:val="0"/>
                <w:sz w:val="24"/>
                <w:szCs w:val="24"/>
              </w:rPr>
              <w:t>) 支持下钻查看清单详情，定位展示对应的质控问题点，支持对诊断、手术信息进行编辑，包括顺序调整、新增、删除、修改；支持在调整清单内容后模拟质检，比对查看新旧分组预测与质控结果信息；支持保存修改后的清单，保存后清单将停止自动刷新；</w:t>
            </w:r>
            <w:r>
              <w:rPr>
                <w:rFonts w:hint="eastAsia" w:ascii="宋体" w:hAnsi="宋体" w:cs="宋体"/>
                <w:kern w:val="0"/>
                <w:sz w:val="24"/>
                <w:szCs w:val="24"/>
              </w:rPr>
              <w:br w:type="textWrapping"/>
            </w:r>
            <w:r>
              <w:rPr>
                <w:rFonts w:hint="eastAsia" w:ascii="宋体" w:hAnsi="宋体" w:cs="宋体"/>
                <w:kern w:val="0"/>
                <w:sz w:val="24"/>
                <w:szCs w:val="24"/>
              </w:rPr>
              <w:t>1</w:t>
            </w:r>
            <w:r>
              <w:rPr>
                <w:rFonts w:ascii="宋体" w:hAnsi="宋体" w:cs="宋体"/>
                <w:kern w:val="0"/>
                <w:sz w:val="24"/>
                <w:szCs w:val="24"/>
              </w:rPr>
              <w:t>1</w:t>
            </w:r>
            <w:r>
              <w:rPr>
                <w:rFonts w:hint="eastAsia" w:ascii="宋体" w:hAnsi="宋体" w:cs="宋体"/>
                <w:kern w:val="0"/>
                <w:sz w:val="24"/>
                <w:szCs w:val="24"/>
              </w:rPr>
              <w:t xml:space="preserve">) 支持对已修改的清单，手动开启清单自动更新； </w:t>
            </w:r>
            <w:r>
              <w:rPr>
                <w:rFonts w:hint="eastAsia" w:ascii="宋体" w:hAnsi="宋体" w:cs="宋体"/>
                <w:kern w:val="0"/>
                <w:sz w:val="24"/>
                <w:szCs w:val="24"/>
              </w:rPr>
              <w:br w:type="textWrapping"/>
            </w:r>
            <w:r>
              <w:rPr>
                <w:rFonts w:hint="eastAsia" w:ascii="宋体" w:hAnsi="宋体" w:cs="宋体"/>
                <w:kern w:val="0"/>
                <w:sz w:val="24"/>
                <w:szCs w:val="24"/>
              </w:rPr>
              <w:t>1</w:t>
            </w:r>
            <w:r>
              <w:rPr>
                <w:rFonts w:ascii="宋体" w:hAnsi="宋体" w:cs="宋体"/>
                <w:kern w:val="0"/>
                <w:sz w:val="24"/>
                <w:szCs w:val="24"/>
              </w:rPr>
              <w:t>2</w:t>
            </w:r>
            <w:r>
              <w:rPr>
                <w:rFonts w:hint="eastAsia" w:ascii="宋体" w:hAnsi="宋体" w:cs="宋体"/>
                <w:kern w:val="0"/>
                <w:sz w:val="24"/>
                <w:szCs w:val="24"/>
              </w:rPr>
              <w:t>) 支持对不适用的清单规则进行关闭，并记录关闭理由；支持针对于个别患者无需修改的规则进行关闭，并记录关闭理由；</w:t>
            </w:r>
            <w:r>
              <w:rPr>
                <w:rFonts w:hint="eastAsia" w:ascii="宋体" w:hAnsi="宋体" w:cs="宋体"/>
                <w:kern w:val="0"/>
                <w:sz w:val="24"/>
                <w:szCs w:val="24"/>
              </w:rPr>
              <w:br w:type="textWrapping"/>
            </w:r>
            <w:r>
              <w:rPr>
                <w:rFonts w:hint="eastAsia" w:ascii="宋体" w:hAnsi="宋体" w:cs="宋体"/>
                <w:kern w:val="0"/>
                <w:sz w:val="24"/>
                <w:szCs w:val="24"/>
              </w:rPr>
              <w:t>1</w:t>
            </w:r>
            <w:r>
              <w:rPr>
                <w:rFonts w:ascii="宋体" w:hAnsi="宋体" w:cs="宋体"/>
                <w:kern w:val="0"/>
                <w:sz w:val="24"/>
                <w:szCs w:val="24"/>
              </w:rPr>
              <w:t>3</w:t>
            </w:r>
            <w:r>
              <w:rPr>
                <w:rFonts w:hint="eastAsia" w:ascii="宋体" w:hAnsi="宋体" w:cs="宋体"/>
                <w:kern w:val="0"/>
                <w:sz w:val="24"/>
                <w:szCs w:val="24"/>
              </w:rPr>
              <w:t>) 支持查看清单编辑日志，日志记录所有操作人员、时间、操作内容，可查看修改前后对比，支持查看与初始清单的对比；</w:t>
            </w:r>
            <w:r>
              <w:rPr>
                <w:rFonts w:hint="eastAsia" w:ascii="宋体" w:hAnsi="宋体" w:cs="宋体"/>
                <w:kern w:val="0"/>
                <w:sz w:val="24"/>
                <w:szCs w:val="24"/>
              </w:rPr>
              <w:br w:type="textWrapping"/>
            </w:r>
            <w:r>
              <w:rPr>
                <w:rFonts w:hint="eastAsia" w:ascii="宋体" w:hAnsi="宋体" w:cs="宋体"/>
                <w:kern w:val="0"/>
                <w:sz w:val="24"/>
                <w:szCs w:val="24"/>
              </w:rPr>
              <w:t>1</w:t>
            </w:r>
            <w:r>
              <w:rPr>
                <w:rFonts w:ascii="宋体" w:hAnsi="宋体" w:cs="宋体"/>
                <w:kern w:val="0"/>
                <w:sz w:val="24"/>
                <w:szCs w:val="24"/>
              </w:rPr>
              <w:t>4</w:t>
            </w:r>
            <w:r>
              <w:rPr>
                <w:rFonts w:hint="eastAsia" w:ascii="宋体" w:hAnsi="宋体" w:cs="宋体"/>
                <w:kern w:val="0"/>
                <w:sz w:val="24"/>
                <w:szCs w:val="24"/>
              </w:rPr>
              <w:t>) 支持对清单发起批注信息，选择发送至指定用户，支持立即发送或暂不发送仅保存；</w:t>
            </w:r>
            <w:r>
              <w:rPr>
                <w:rFonts w:hint="eastAsia" w:ascii="宋体" w:hAnsi="宋体" w:cs="宋体"/>
                <w:kern w:val="0"/>
                <w:sz w:val="24"/>
                <w:szCs w:val="24"/>
              </w:rPr>
              <w:br w:type="textWrapping"/>
            </w:r>
            <w:r>
              <w:rPr>
                <w:rFonts w:hint="eastAsia" w:ascii="宋体" w:hAnsi="宋体" w:cs="宋体"/>
                <w:kern w:val="0"/>
                <w:sz w:val="24"/>
                <w:szCs w:val="24"/>
              </w:rPr>
              <w:t>1</w:t>
            </w:r>
            <w:r>
              <w:rPr>
                <w:rFonts w:ascii="宋体" w:hAnsi="宋体" w:cs="宋体"/>
                <w:kern w:val="0"/>
                <w:sz w:val="24"/>
                <w:szCs w:val="24"/>
              </w:rPr>
              <w:t>5</w:t>
            </w:r>
            <w:r>
              <w:rPr>
                <w:rFonts w:hint="eastAsia" w:ascii="宋体" w:hAnsi="宋体" w:cs="宋体"/>
                <w:kern w:val="0"/>
                <w:sz w:val="24"/>
                <w:szCs w:val="24"/>
              </w:rPr>
              <w:t>) 支持通过调整主次诊断、手术顺序对清单进行模拟入组，比对查看新旧分组预测与质控结果信息，支持将模拟分组结果快捷添加至批注或详情页；</w:t>
            </w:r>
          </w:p>
          <w:p w14:paraId="6A84C764">
            <w:pPr>
              <w:spacing w:line="276" w:lineRule="auto"/>
              <w:jc w:val="left"/>
              <w:rPr>
                <w:rFonts w:hint="eastAsia" w:ascii="宋体" w:hAnsi="宋体" w:cs="宋体"/>
                <w:kern w:val="0"/>
                <w:sz w:val="24"/>
                <w:szCs w:val="24"/>
              </w:rPr>
            </w:pPr>
            <w:r>
              <w:rPr>
                <w:rFonts w:ascii="宋体" w:hAnsi="宋体" w:cs="宋体"/>
                <w:kern w:val="0"/>
                <w:sz w:val="24"/>
                <w:szCs w:val="24"/>
              </w:rPr>
              <w:t>16</w:t>
            </w:r>
            <w:r>
              <w:rPr>
                <w:rFonts w:hint="eastAsia" w:ascii="宋体" w:hAnsi="宋体" w:cs="宋体"/>
                <w:kern w:val="0"/>
                <w:sz w:val="24"/>
                <w:szCs w:val="24"/>
              </w:rPr>
              <w:t>) 支持通过手动刷新HIS实时信息，更新待审核清单数据 。</w:t>
            </w:r>
          </w:p>
        </w:tc>
      </w:tr>
      <w:tr w14:paraId="15FF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3DB3E005">
            <w:pPr>
              <w:spacing w:line="276" w:lineRule="auto"/>
              <w:jc w:val="left"/>
              <w:rPr>
                <w:rFonts w:hint="eastAsia" w:ascii="宋体" w:hAnsi="宋体" w:cs="宋体"/>
                <w:kern w:val="0"/>
                <w:sz w:val="24"/>
                <w:szCs w:val="24"/>
              </w:rPr>
            </w:pPr>
          </w:p>
        </w:tc>
        <w:tc>
          <w:tcPr>
            <w:tcW w:w="1134" w:type="dxa"/>
            <w:vAlign w:val="center"/>
          </w:tcPr>
          <w:p w14:paraId="38A5EA4C">
            <w:pPr>
              <w:spacing w:line="276" w:lineRule="auto"/>
              <w:jc w:val="center"/>
              <w:rPr>
                <w:rFonts w:hint="eastAsia" w:ascii="宋体" w:hAnsi="宋体" w:cs="宋体"/>
                <w:kern w:val="0"/>
                <w:sz w:val="24"/>
                <w:szCs w:val="24"/>
              </w:rPr>
            </w:pPr>
            <w:r>
              <w:rPr>
                <w:rFonts w:hint="eastAsia" w:ascii="宋体" w:hAnsi="宋体" w:cs="宋体"/>
                <w:kern w:val="0"/>
                <w:sz w:val="24"/>
                <w:szCs w:val="24"/>
              </w:rPr>
              <w:t>我的清单</w:t>
            </w:r>
          </w:p>
        </w:tc>
        <w:tc>
          <w:tcPr>
            <w:tcW w:w="6379" w:type="dxa"/>
            <w:vAlign w:val="center"/>
          </w:tcPr>
          <w:p w14:paraId="501A4538">
            <w:pPr>
              <w:spacing w:line="276" w:lineRule="auto"/>
              <w:jc w:val="left"/>
              <w:rPr>
                <w:rFonts w:hint="eastAsia" w:ascii="宋体" w:hAnsi="宋体" w:eastAsia="宋体" w:cs="宋体"/>
                <w:kern w:val="0"/>
                <w:sz w:val="24"/>
                <w:szCs w:val="24"/>
                <w:lang w:eastAsia="zh-CN"/>
              </w:rPr>
            </w:pPr>
            <w:r>
              <w:rPr>
                <w:rFonts w:hint="eastAsia" w:ascii="宋体" w:hAnsi="宋体" w:cs="宋体"/>
                <w:kern w:val="0"/>
                <w:sz w:val="24"/>
                <w:szCs w:val="24"/>
              </w:rPr>
              <w:t>1) 支持按分配的数据权限，查看本人负责的全部流程节点下的所有结算清单</w:t>
            </w:r>
            <w:r>
              <w:rPr>
                <w:rFonts w:hint="eastAsia" w:ascii="宋体" w:hAnsi="宋体" w:cs="宋体"/>
                <w:kern w:val="0"/>
                <w:sz w:val="24"/>
                <w:szCs w:val="24"/>
                <w:lang w:eastAsia="zh-CN"/>
              </w:rPr>
              <w:t>。</w:t>
            </w:r>
          </w:p>
          <w:p w14:paraId="1ADE467E">
            <w:pPr>
              <w:spacing w:line="276" w:lineRule="auto"/>
              <w:jc w:val="left"/>
              <w:rPr>
                <w:rFonts w:hint="eastAsia" w:ascii="宋体" w:hAnsi="宋体" w:cs="宋体"/>
                <w:kern w:val="0"/>
                <w:sz w:val="24"/>
                <w:szCs w:val="24"/>
              </w:rPr>
            </w:pPr>
            <w:r>
              <w:rPr>
                <w:rFonts w:hint="eastAsia" w:ascii="宋体" w:hAnsi="宋体" w:cs="宋体"/>
                <w:kern w:val="0"/>
                <w:sz w:val="24"/>
                <w:szCs w:val="24"/>
              </w:rPr>
              <w:t>2) 支持查看结算清单当前审核状态，支持按姓名、住院号、病案号、医生、分组、主诊断、主手术进行搜索，支持下载导出列表。</w:t>
            </w:r>
          </w:p>
          <w:p w14:paraId="5C431EBF">
            <w:pPr>
              <w:spacing w:line="276"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rPr>
              <w:t>3) 支持对于重点问题主动进行推送，如已审核清单被退回、收到批注消息、清单数据源头发生变更</w:t>
            </w:r>
            <w:r>
              <w:rPr>
                <w:rFonts w:hint="eastAsia" w:ascii="宋体" w:hAnsi="宋体" w:cs="宋体"/>
                <w:kern w:val="0"/>
                <w:sz w:val="24"/>
                <w:szCs w:val="24"/>
                <w:lang w:eastAsia="zh-CN"/>
              </w:rPr>
              <w:t>。</w:t>
            </w:r>
          </w:p>
        </w:tc>
      </w:tr>
      <w:tr w14:paraId="3DE2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038A2800">
            <w:pPr>
              <w:spacing w:line="276" w:lineRule="auto"/>
              <w:jc w:val="left"/>
              <w:rPr>
                <w:rFonts w:hint="eastAsia" w:ascii="宋体" w:hAnsi="宋体" w:cs="宋体"/>
                <w:kern w:val="0"/>
                <w:sz w:val="24"/>
                <w:szCs w:val="24"/>
              </w:rPr>
            </w:pPr>
          </w:p>
        </w:tc>
        <w:tc>
          <w:tcPr>
            <w:tcW w:w="1134" w:type="dxa"/>
            <w:vAlign w:val="center"/>
          </w:tcPr>
          <w:p w14:paraId="662D4643">
            <w:pPr>
              <w:spacing w:line="276" w:lineRule="auto"/>
              <w:jc w:val="center"/>
              <w:rPr>
                <w:rFonts w:hint="eastAsia" w:ascii="宋体" w:hAnsi="宋体" w:cs="宋体"/>
                <w:kern w:val="0"/>
                <w:sz w:val="24"/>
                <w:szCs w:val="24"/>
              </w:rPr>
            </w:pPr>
            <w:r>
              <w:rPr>
                <w:rFonts w:hint="eastAsia" w:ascii="宋体" w:hAnsi="宋体" w:cs="宋体"/>
                <w:kern w:val="0"/>
                <w:sz w:val="24"/>
                <w:szCs w:val="24"/>
              </w:rPr>
              <w:t>待审核清单</w:t>
            </w:r>
          </w:p>
        </w:tc>
        <w:tc>
          <w:tcPr>
            <w:tcW w:w="6379" w:type="dxa"/>
            <w:vAlign w:val="center"/>
          </w:tcPr>
          <w:p w14:paraId="71ED765E">
            <w:pPr>
              <w:spacing w:line="276" w:lineRule="auto"/>
              <w:jc w:val="left"/>
              <w:rPr>
                <w:rFonts w:hint="eastAsia" w:ascii="宋体" w:hAnsi="宋体" w:cs="宋体"/>
                <w:kern w:val="0"/>
                <w:sz w:val="24"/>
                <w:szCs w:val="24"/>
              </w:rPr>
            </w:pPr>
            <w:r>
              <w:rPr>
                <w:rFonts w:hint="eastAsia" w:ascii="宋体" w:hAnsi="宋体" w:cs="宋体"/>
                <w:kern w:val="0"/>
                <w:sz w:val="24"/>
                <w:szCs w:val="24"/>
              </w:rPr>
              <w:t>1) 支持按分配的数据权限，查看本人负责的所有待审核的结算清单；</w:t>
            </w:r>
            <w:r>
              <w:rPr>
                <w:rFonts w:hint="eastAsia" w:ascii="宋体" w:hAnsi="宋体" w:cs="宋体"/>
                <w:kern w:val="0"/>
                <w:sz w:val="24"/>
                <w:szCs w:val="24"/>
              </w:rPr>
              <w:br w:type="textWrapping"/>
            </w:r>
            <w:r>
              <w:rPr>
                <w:rFonts w:hint="eastAsia" w:ascii="宋体" w:hAnsi="宋体" w:cs="宋体"/>
                <w:kern w:val="0"/>
                <w:sz w:val="24"/>
                <w:szCs w:val="24"/>
              </w:rPr>
              <w:t>2) 支持对待审核清单操作审核通过，支持批量勾选操作审核通过，支持一键全部审核通过；已审核通过的清单根据审核流程配置，自动分配进入下一节点审核人员的待审核列表，并自动保存固化清单数据；</w:t>
            </w:r>
            <w:r>
              <w:rPr>
                <w:rFonts w:hint="eastAsia" w:ascii="宋体" w:hAnsi="宋体" w:cs="宋体"/>
                <w:kern w:val="0"/>
                <w:sz w:val="24"/>
                <w:szCs w:val="24"/>
              </w:rPr>
              <w:br w:type="textWrapping"/>
            </w:r>
            <w:r>
              <w:rPr>
                <w:rFonts w:hint="eastAsia" w:ascii="宋体" w:hAnsi="宋体" w:cs="宋体"/>
                <w:kern w:val="0"/>
                <w:sz w:val="24"/>
                <w:szCs w:val="24"/>
              </w:rPr>
              <w:t>3) 支持设置自定义校验条件，对符合条件的清单自动审核通过并进入本人审核通过列表，未通过审核的清单进入待审核列表等待人工处理审核；</w:t>
            </w:r>
            <w:r>
              <w:rPr>
                <w:rFonts w:hint="eastAsia" w:ascii="宋体" w:hAnsi="宋体" w:cs="宋体"/>
                <w:kern w:val="0"/>
                <w:sz w:val="24"/>
                <w:szCs w:val="24"/>
              </w:rPr>
              <w:br w:type="textWrapping"/>
            </w:r>
            <w:r>
              <w:rPr>
                <w:rFonts w:hint="eastAsia" w:ascii="宋体" w:hAnsi="宋体" w:cs="宋体"/>
                <w:kern w:val="0"/>
                <w:sz w:val="24"/>
                <w:szCs w:val="24"/>
              </w:rPr>
              <w:t>4) 支持对审核不通过的清单进行退回操作，可选择退回至指定流程的待审核列表；</w:t>
            </w:r>
            <w:r>
              <w:rPr>
                <w:rFonts w:hint="eastAsia" w:ascii="宋体" w:hAnsi="宋体" w:cs="宋体"/>
                <w:kern w:val="0"/>
                <w:sz w:val="24"/>
                <w:szCs w:val="24"/>
              </w:rPr>
              <w:br w:type="textWrapping"/>
            </w:r>
            <w:r>
              <w:rPr>
                <w:rFonts w:hint="eastAsia" w:ascii="宋体" w:hAnsi="宋体" w:cs="宋体"/>
                <w:kern w:val="0"/>
                <w:sz w:val="24"/>
                <w:szCs w:val="24"/>
              </w:rPr>
              <w:t>5) 支持下载导出本人所有待审核清单列表。</w:t>
            </w:r>
          </w:p>
        </w:tc>
      </w:tr>
      <w:tr w14:paraId="43EB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4401D242">
            <w:pPr>
              <w:spacing w:line="276" w:lineRule="auto"/>
              <w:jc w:val="left"/>
              <w:rPr>
                <w:rFonts w:hint="eastAsia" w:ascii="宋体" w:hAnsi="宋体" w:cs="宋体"/>
                <w:kern w:val="0"/>
                <w:sz w:val="24"/>
                <w:szCs w:val="24"/>
              </w:rPr>
            </w:pPr>
          </w:p>
        </w:tc>
        <w:tc>
          <w:tcPr>
            <w:tcW w:w="1134" w:type="dxa"/>
            <w:vAlign w:val="center"/>
          </w:tcPr>
          <w:p w14:paraId="14EBF84F">
            <w:pPr>
              <w:spacing w:line="276" w:lineRule="auto"/>
              <w:jc w:val="center"/>
              <w:rPr>
                <w:rFonts w:hint="eastAsia" w:ascii="宋体" w:hAnsi="宋体" w:cs="宋体"/>
                <w:kern w:val="0"/>
                <w:sz w:val="24"/>
                <w:szCs w:val="24"/>
              </w:rPr>
            </w:pPr>
            <w:r>
              <w:rPr>
                <w:rFonts w:hint="eastAsia" w:ascii="宋体" w:hAnsi="宋体" w:cs="宋体"/>
                <w:kern w:val="0"/>
                <w:sz w:val="24"/>
                <w:szCs w:val="24"/>
              </w:rPr>
              <w:t>审核通过清单</w:t>
            </w:r>
          </w:p>
        </w:tc>
        <w:tc>
          <w:tcPr>
            <w:tcW w:w="6379" w:type="dxa"/>
            <w:vAlign w:val="center"/>
          </w:tcPr>
          <w:p w14:paraId="3BA1A95E">
            <w:pPr>
              <w:spacing w:line="276" w:lineRule="auto"/>
              <w:jc w:val="left"/>
              <w:rPr>
                <w:rFonts w:hint="eastAsia" w:ascii="宋体" w:hAnsi="宋体" w:cs="宋体"/>
                <w:kern w:val="0"/>
                <w:sz w:val="24"/>
                <w:szCs w:val="24"/>
              </w:rPr>
            </w:pPr>
            <w:r>
              <w:rPr>
                <w:rFonts w:hint="eastAsia" w:ascii="宋体" w:hAnsi="宋体" w:cs="宋体"/>
                <w:kern w:val="0"/>
                <w:sz w:val="24"/>
                <w:szCs w:val="24"/>
              </w:rPr>
              <w:t>1) 支持查看所有本人审核通过的清单；</w:t>
            </w:r>
            <w:r>
              <w:rPr>
                <w:rFonts w:hint="eastAsia" w:ascii="宋体" w:hAnsi="宋体" w:cs="宋体"/>
                <w:kern w:val="0"/>
                <w:sz w:val="24"/>
                <w:szCs w:val="24"/>
              </w:rPr>
              <w:br w:type="textWrapping"/>
            </w:r>
            <w:r>
              <w:rPr>
                <w:rFonts w:hint="eastAsia" w:ascii="宋体" w:hAnsi="宋体" w:cs="宋体"/>
                <w:kern w:val="0"/>
                <w:sz w:val="24"/>
                <w:szCs w:val="24"/>
              </w:rPr>
              <w:t>2) 支持批量勾选撤销本人已审核通过的清单，撤销审核后的清单变为本人待审核状态；</w:t>
            </w:r>
            <w:r>
              <w:rPr>
                <w:rFonts w:hint="eastAsia" w:ascii="宋体" w:hAnsi="宋体" w:cs="宋体"/>
                <w:kern w:val="0"/>
                <w:sz w:val="24"/>
                <w:szCs w:val="24"/>
              </w:rPr>
              <w:br w:type="textWrapping"/>
            </w:r>
            <w:r>
              <w:rPr>
                <w:rFonts w:hint="eastAsia" w:ascii="宋体" w:hAnsi="宋体" w:cs="宋体"/>
                <w:kern w:val="0"/>
                <w:sz w:val="24"/>
                <w:szCs w:val="24"/>
              </w:rPr>
              <w:t>3) 支持下载导出本人所有审核通过清单列表；</w:t>
            </w:r>
          </w:p>
        </w:tc>
      </w:tr>
      <w:tr w14:paraId="1307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3772D0B6">
            <w:pPr>
              <w:spacing w:line="276" w:lineRule="auto"/>
              <w:jc w:val="left"/>
              <w:rPr>
                <w:rFonts w:hint="eastAsia" w:ascii="宋体" w:hAnsi="宋体" w:cs="宋体"/>
                <w:kern w:val="0"/>
                <w:sz w:val="24"/>
                <w:szCs w:val="24"/>
              </w:rPr>
            </w:pPr>
          </w:p>
        </w:tc>
        <w:tc>
          <w:tcPr>
            <w:tcW w:w="1134" w:type="dxa"/>
            <w:vAlign w:val="center"/>
          </w:tcPr>
          <w:p w14:paraId="4ABDA1F2">
            <w:pPr>
              <w:spacing w:line="276" w:lineRule="auto"/>
              <w:jc w:val="center"/>
              <w:rPr>
                <w:rFonts w:hint="eastAsia" w:ascii="宋体" w:hAnsi="宋体" w:cs="宋体"/>
                <w:kern w:val="0"/>
                <w:sz w:val="24"/>
                <w:szCs w:val="24"/>
              </w:rPr>
            </w:pPr>
            <w:r>
              <w:rPr>
                <w:rFonts w:hint="eastAsia" w:ascii="宋体" w:hAnsi="宋体" w:cs="宋体"/>
                <w:kern w:val="0"/>
                <w:sz w:val="24"/>
                <w:szCs w:val="24"/>
              </w:rPr>
              <w:t>审核退回清单</w:t>
            </w:r>
          </w:p>
        </w:tc>
        <w:tc>
          <w:tcPr>
            <w:tcW w:w="6379" w:type="dxa"/>
            <w:vAlign w:val="center"/>
          </w:tcPr>
          <w:p w14:paraId="67FA93DC">
            <w:pPr>
              <w:spacing w:line="276" w:lineRule="auto"/>
              <w:jc w:val="left"/>
              <w:rPr>
                <w:rFonts w:hint="eastAsia" w:ascii="宋体" w:hAnsi="宋体" w:cs="宋体"/>
                <w:kern w:val="0"/>
                <w:sz w:val="24"/>
                <w:szCs w:val="24"/>
              </w:rPr>
            </w:pPr>
            <w:r>
              <w:rPr>
                <w:rFonts w:hint="eastAsia" w:ascii="宋体" w:hAnsi="宋体" w:cs="宋体"/>
                <w:kern w:val="0"/>
                <w:sz w:val="24"/>
                <w:szCs w:val="24"/>
              </w:rPr>
              <w:t>1) 支持查看所有本人被审核退回的清单；</w:t>
            </w:r>
            <w:r>
              <w:rPr>
                <w:rFonts w:hint="eastAsia" w:ascii="宋体" w:hAnsi="宋体" w:cs="宋体"/>
                <w:kern w:val="0"/>
                <w:sz w:val="24"/>
                <w:szCs w:val="24"/>
              </w:rPr>
              <w:br w:type="textWrapping"/>
            </w:r>
            <w:r>
              <w:rPr>
                <w:rFonts w:hint="eastAsia" w:ascii="宋体" w:hAnsi="宋体" w:cs="宋体"/>
                <w:kern w:val="0"/>
                <w:sz w:val="24"/>
                <w:szCs w:val="24"/>
              </w:rPr>
              <w:t>2) 支持重新对清单进行审核通过操作，重新进入下一节点审核人员的待审核列表。</w:t>
            </w:r>
            <w:r>
              <w:rPr>
                <w:rFonts w:hint="eastAsia" w:ascii="宋体" w:hAnsi="宋体" w:cs="宋体"/>
                <w:kern w:val="0"/>
                <w:sz w:val="24"/>
                <w:szCs w:val="24"/>
              </w:rPr>
              <w:br w:type="textWrapping"/>
            </w:r>
            <w:r>
              <w:rPr>
                <w:rFonts w:hint="eastAsia" w:ascii="宋体" w:hAnsi="宋体" w:cs="宋体"/>
                <w:kern w:val="0"/>
                <w:sz w:val="24"/>
                <w:szCs w:val="24"/>
              </w:rPr>
              <w:t>3) 支持下载导出本人所有审核被退回清单列表。</w:t>
            </w:r>
          </w:p>
        </w:tc>
      </w:tr>
      <w:tr w14:paraId="5570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17897D79">
            <w:pPr>
              <w:spacing w:line="276" w:lineRule="auto"/>
              <w:jc w:val="left"/>
              <w:rPr>
                <w:rFonts w:hint="eastAsia" w:ascii="宋体" w:hAnsi="宋体" w:cs="宋体"/>
                <w:kern w:val="0"/>
                <w:sz w:val="24"/>
                <w:szCs w:val="24"/>
              </w:rPr>
            </w:pPr>
          </w:p>
        </w:tc>
        <w:tc>
          <w:tcPr>
            <w:tcW w:w="1134" w:type="dxa"/>
            <w:vAlign w:val="center"/>
          </w:tcPr>
          <w:p w14:paraId="109F36B8">
            <w:pPr>
              <w:spacing w:line="276" w:lineRule="auto"/>
              <w:jc w:val="center"/>
              <w:rPr>
                <w:rFonts w:hint="eastAsia" w:ascii="宋体" w:hAnsi="宋体" w:cs="宋体"/>
                <w:kern w:val="0"/>
                <w:sz w:val="24"/>
                <w:szCs w:val="24"/>
              </w:rPr>
            </w:pPr>
            <w:r>
              <w:rPr>
                <w:rFonts w:hint="eastAsia" w:ascii="宋体" w:hAnsi="宋体" w:cs="宋体"/>
                <w:kern w:val="0"/>
                <w:sz w:val="24"/>
                <w:szCs w:val="24"/>
              </w:rPr>
              <w:t>超时未审核清单</w:t>
            </w:r>
          </w:p>
        </w:tc>
        <w:tc>
          <w:tcPr>
            <w:tcW w:w="6379" w:type="dxa"/>
            <w:vAlign w:val="center"/>
          </w:tcPr>
          <w:p w14:paraId="4702E751">
            <w:pPr>
              <w:spacing w:line="276" w:lineRule="auto"/>
              <w:jc w:val="left"/>
              <w:rPr>
                <w:rFonts w:hint="eastAsia" w:ascii="宋体" w:hAnsi="宋体" w:cs="宋体"/>
                <w:kern w:val="0"/>
                <w:sz w:val="24"/>
                <w:szCs w:val="24"/>
              </w:rPr>
            </w:pPr>
            <w:r>
              <w:rPr>
                <w:rFonts w:hint="eastAsia" w:ascii="宋体" w:hAnsi="宋体" w:cs="宋体"/>
                <w:kern w:val="0"/>
                <w:sz w:val="24"/>
                <w:szCs w:val="24"/>
              </w:rPr>
              <w:t>1) 根据每个审核节点设置的时限要求，系统自动将超过时限的清单置为超时未审核；</w:t>
            </w:r>
            <w:r>
              <w:rPr>
                <w:rFonts w:hint="eastAsia" w:ascii="宋体" w:hAnsi="宋体" w:cs="宋体"/>
                <w:kern w:val="0"/>
                <w:sz w:val="24"/>
                <w:szCs w:val="24"/>
              </w:rPr>
              <w:br w:type="textWrapping"/>
            </w:r>
            <w:r>
              <w:rPr>
                <w:rFonts w:hint="eastAsia" w:ascii="宋体" w:hAnsi="宋体" w:cs="宋体"/>
                <w:kern w:val="0"/>
                <w:sz w:val="24"/>
                <w:szCs w:val="24"/>
              </w:rPr>
              <w:t>2) 支持查看所有本人超时未审核的清单；</w:t>
            </w:r>
            <w:r>
              <w:rPr>
                <w:rFonts w:hint="eastAsia" w:ascii="宋体" w:hAnsi="宋体" w:cs="宋体"/>
                <w:kern w:val="0"/>
                <w:sz w:val="24"/>
                <w:szCs w:val="24"/>
              </w:rPr>
              <w:br w:type="textWrapping"/>
            </w:r>
            <w:r>
              <w:rPr>
                <w:rFonts w:hint="eastAsia" w:ascii="宋体" w:hAnsi="宋体" w:cs="宋体"/>
                <w:kern w:val="0"/>
                <w:sz w:val="24"/>
                <w:szCs w:val="24"/>
              </w:rPr>
              <w:t>3) 支持对清单进行审核通过操作，进入下一节点审核人员的待审核列表。</w:t>
            </w:r>
            <w:r>
              <w:rPr>
                <w:rFonts w:hint="eastAsia" w:ascii="宋体" w:hAnsi="宋体" w:cs="宋体"/>
                <w:kern w:val="0"/>
                <w:sz w:val="24"/>
                <w:szCs w:val="24"/>
              </w:rPr>
              <w:br w:type="textWrapping"/>
            </w:r>
            <w:r>
              <w:rPr>
                <w:rFonts w:hint="eastAsia" w:ascii="宋体" w:hAnsi="宋体" w:cs="宋体"/>
                <w:kern w:val="0"/>
                <w:sz w:val="24"/>
                <w:szCs w:val="24"/>
              </w:rPr>
              <w:t>4) 支持下载导出本人所有超时未审核清单列表。</w:t>
            </w:r>
          </w:p>
        </w:tc>
      </w:tr>
      <w:tr w14:paraId="0C6C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67D8E6E2">
            <w:pPr>
              <w:spacing w:line="276" w:lineRule="auto"/>
              <w:jc w:val="left"/>
              <w:rPr>
                <w:rFonts w:hint="eastAsia" w:ascii="宋体" w:hAnsi="宋体" w:cs="宋体"/>
                <w:kern w:val="0"/>
                <w:sz w:val="24"/>
                <w:szCs w:val="24"/>
              </w:rPr>
            </w:pPr>
          </w:p>
        </w:tc>
        <w:tc>
          <w:tcPr>
            <w:tcW w:w="1134" w:type="dxa"/>
            <w:vAlign w:val="center"/>
          </w:tcPr>
          <w:p w14:paraId="071E4951">
            <w:pPr>
              <w:spacing w:line="276" w:lineRule="auto"/>
              <w:jc w:val="center"/>
              <w:rPr>
                <w:rFonts w:hint="eastAsia" w:ascii="宋体" w:hAnsi="宋体" w:cs="宋体"/>
                <w:kern w:val="0"/>
                <w:sz w:val="24"/>
                <w:szCs w:val="24"/>
              </w:rPr>
            </w:pPr>
            <w:r>
              <w:rPr>
                <w:rFonts w:hint="eastAsia" w:ascii="宋体" w:hAnsi="宋体" w:cs="宋体"/>
                <w:kern w:val="0"/>
                <w:sz w:val="24"/>
                <w:szCs w:val="24"/>
              </w:rPr>
              <w:t>自定义快捷筛选</w:t>
            </w:r>
          </w:p>
        </w:tc>
        <w:tc>
          <w:tcPr>
            <w:tcW w:w="6379" w:type="dxa"/>
            <w:vAlign w:val="center"/>
          </w:tcPr>
          <w:p w14:paraId="2FEF5A67">
            <w:pPr>
              <w:spacing w:line="276" w:lineRule="auto"/>
              <w:jc w:val="left"/>
              <w:rPr>
                <w:rFonts w:hint="eastAsia" w:ascii="宋体" w:hAnsi="宋体" w:cs="宋体"/>
                <w:kern w:val="0"/>
                <w:sz w:val="24"/>
                <w:szCs w:val="24"/>
              </w:rPr>
            </w:pPr>
            <w:r>
              <w:rPr>
                <w:rFonts w:hint="eastAsia" w:ascii="宋体" w:hAnsi="宋体" w:cs="宋体"/>
                <w:kern w:val="0"/>
                <w:sz w:val="24"/>
                <w:szCs w:val="24"/>
              </w:rPr>
              <w:t>1) 支持按照病例类型、质控问题、异常住院、特殊患者、费用相关条件类型，选择对应的指标，组合形成自定义快捷筛类型，针对每个审核环节，筛选出对应的清单列表；</w:t>
            </w:r>
            <w:r>
              <w:rPr>
                <w:rFonts w:hint="eastAsia" w:ascii="宋体" w:hAnsi="宋体" w:cs="宋体"/>
                <w:kern w:val="0"/>
                <w:sz w:val="24"/>
                <w:szCs w:val="24"/>
              </w:rPr>
              <w:br w:type="textWrapping"/>
            </w:r>
            <w:r>
              <w:rPr>
                <w:rFonts w:hint="eastAsia" w:ascii="宋体" w:hAnsi="宋体" w:cs="宋体"/>
                <w:kern w:val="0"/>
                <w:sz w:val="24"/>
                <w:szCs w:val="24"/>
              </w:rPr>
              <w:t>2) 支持对筛选类型进行重命名；</w:t>
            </w:r>
            <w:r>
              <w:rPr>
                <w:rFonts w:hint="eastAsia" w:ascii="宋体" w:hAnsi="宋体" w:cs="宋体"/>
                <w:kern w:val="0"/>
                <w:sz w:val="24"/>
                <w:szCs w:val="24"/>
              </w:rPr>
              <w:br w:type="textWrapping"/>
            </w:r>
            <w:r>
              <w:rPr>
                <w:rFonts w:hint="eastAsia" w:ascii="宋体" w:hAnsi="宋体" w:cs="宋体"/>
                <w:kern w:val="0"/>
                <w:sz w:val="24"/>
                <w:szCs w:val="24"/>
              </w:rPr>
              <w:t>3) 支持自定义添加多个快捷筛选类型；</w:t>
            </w:r>
            <w:r>
              <w:rPr>
                <w:rFonts w:hint="eastAsia" w:ascii="宋体" w:hAnsi="宋体" w:cs="宋体"/>
                <w:kern w:val="0"/>
                <w:sz w:val="24"/>
                <w:szCs w:val="24"/>
              </w:rPr>
              <w:br w:type="textWrapping"/>
            </w:r>
            <w:r>
              <w:rPr>
                <w:rFonts w:hint="eastAsia" w:ascii="宋体" w:hAnsi="宋体" w:cs="宋体"/>
                <w:kern w:val="0"/>
                <w:sz w:val="24"/>
                <w:szCs w:val="24"/>
              </w:rPr>
              <w:t>4) 支持初始化重点问题清单的快捷筛选类型；</w:t>
            </w:r>
            <w:r>
              <w:rPr>
                <w:rFonts w:hint="eastAsia" w:ascii="宋体" w:hAnsi="宋体" w:cs="宋体"/>
                <w:kern w:val="0"/>
                <w:sz w:val="24"/>
                <w:szCs w:val="24"/>
              </w:rPr>
              <w:br w:type="textWrapping"/>
            </w:r>
            <w:r>
              <w:rPr>
                <w:rFonts w:hint="eastAsia" w:ascii="宋体" w:hAnsi="宋体" w:cs="宋体"/>
                <w:kern w:val="0"/>
                <w:sz w:val="24"/>
                <w:szCs w:val="24"/>
              </w:rPr>
              <w:t>5) 支持下载导出快捷筛选类型下的清单列表。</w:t>
            </w:r>
          </w:p>
        </w:tc>
      </w:tr>
      <w:tr w14:paraId="7B76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2675FA6F">
            <w:pPr>
              <w:spacing w:line="276" w:lineRule="auto"/>
              <w:jc w:val="left"/>
              <w:rPr>
                <w:rFonts w:hint="eastAsia" w:ascii="宋体" w:hAnsi="宋体" w:cs="宋体"/>
                <w:kern w:val="0"/>
                <w:sz w:val="24"/>
                <w:szCs w:val="24"/>
              </w:rPr>
            </w:pPr>
          </w:p>
        </w:tc>
        <w:tc>
          <w:tcPr>
            <w:tcW w:w="1134" w:type="dxa"/>
            <w:vAlign w:val="center"/>
          </w:tcPr>
          <w:p w14:paraId="17153B0F">
            <w:pPr>
              <w:spacing w:line="276" w:lineRule="auto"/>
              <w:jc w:val="center"/>
              <w:rPr>
                <w:rFonts w:hint="eastAsia" w:ascii="宋体" w:hAnsi="宋体" w:cs="宋体"/>
                <w:kern w:val="0"/>
                <w:sz w:val="24"/>
                <w:szCs w:val="24"/>
              </w:rPr>
            </w:pPr>
            <w:r>
              <w:rPr>
                <w:rFonts w:hint="eastAsia" w:ascii="宋体" w:hAnsi="宋体" w:cs="宋体"/>
                <w:kern w:val="0"/>
                <w:sz w:val="24"/>
                <w:szCs w:val="24"/>
              </w:rPr>
              <w:t>其他筛选</w:t>
            </w:r>
          </w:p>
        </w:tc>
        <w:tc>
          <w:tcPr>
            <w:tcW w:w="6379" w:type="dxa"/>
            <w:vAlign w:val="center"/>
          </w:tcPr>
          <w:p w14:paraId="248773E9">
            <w:pPr>
              <w:spacing w:line="276" w:lineRule="auto"/>
              <w:jc w:val="left"/>
              <w:rPr>
                <w:rFonts w:hint="eastAsia" w:ascii="宋体" w:hAnsi="宋体" w:cs="宋体"/>
                <w:kern w:val="0"/>
                <w:sz w:val="24"/>
                <w:szCs w:val="24"/>
              </w:rPr>
            </w:pPr>
            <w:r>
              <w:rPr>
                <w:rFonts w:hint="eastAsia" w:ascii="宋体" w:hAnsi="宋体" w:cs="宋体"/>
                <w:kern w:val="0"/>
                <w:sz w:val="24"/>
                <w:szCs w:val="24"/>
              </w:rPr>
              <w:t>1) 支持对未读清单、疑问病例的筛选；</w:t>
            </w:r>
            <w:r>
              <w:rPr>
                <w:rFonts w:hint="eastAsia" w:ascii="宋体" w:hAnsi="宋体" w:cs="宋体"/>
                <w:kern w:val="0"/>
                <w:sz w:val="24"/>
                <w:szCs w:val="24"/>
              </w:rPr>
              <w:br w:type="textWrapping"/>
            </w:r>
            <w:r>
              <w:rPr>
                <w:rFonts w:hint="eastAsia" w:ascii="宋体" w:hAnsi="宋体" w:cs="宋体"/>
                <w:kern w:val="0"/>
                <w:sz w:val="24"/>
                <w:szCs w:val="24"/>
              </w:rPr>
              <w:t>2) 支持筛选与病案首页不一致的清单；</w:t>
            </w:r>
            <w:r>
              <w:rPr>
                <w:rFonts w:hint="eastAsia" w:ascii="宋体" w:hAnsi="宋体" w:cs="宋体"/>
                <w:kern w:val="0"/>
                <w:sz w:val="24"/>
                <w:szCs w:val="24"/>
              </w:rPr>
              <w:br w:type="textWrapping"/>
            </w:r>
            <w:r>
              <w:rPr>
                <w:rFonts w:hint="eastAsia" w:ascii="宋体" w:hAnsi="宋体" w:cs="宋体"/>
                <w:kern w:val="0"/>
                <w:sz w:val="24"/>
                <w:szCs w:val="24"/>
              </w:rPr>
              <w:t>3) 支持筛选与初始清单不一致的清单，区分因数据源变更、清单调整变更原因导致的不一致清单。</w:t>
            </w:r>
          </w:p>
        </w:tc>
      </w:tr>
      <w:tr w14:paraId="0E2E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gridSpan w:val="2"/>
            <w:vAlign w:val="center"/>
          </w:tcPr>
          <w:p w14:paraId="0A42AEB8">
            <w:pPr>
              <w:spacing w:line="276" w:lineRule="auto"/>
              <w:jc w:val="center"/>
              <w:rPr>
                <w:rFonts w:hint="eastAsia" w:ascii="宋体" w:hAnsi="宋体" w:cs="宋体"/>
                <w:kern w:val="0"/>
                <w:sz w:val="24"/>
                <w:szCs w:val="24"/>
              </w:rPr>
            </w:pPr>
            <w:r>
              <w:rPr>
                <w:rFonts w:hint="eastAsia" w:ascii="宋体" w:hAnsi="宋体" w:cs="宋体"/>
                <w:kern w:val="0"/>
                <w:sz w:val="24"/>
                <w:szCs w:val="24"/>
              </w:rPr>
              <w:t>消息中心</w:t>
            </w:r>
          </w:p>
        </w:tc>
        <w:tc>
          <w:tcPr>
            <w:tcW w:w="6379" w:type="dxa"/>
            <w:vAlign w:val="center"/>
          </w:tcPr>
          <w:p w14:paraId="3B357DF8">
            <w:pPr>
              <w:spacing w:line="276" w:lineRule="auto"/>
              <w:jc w:val="left"/>
              <w:rPr>
                <w:rFonts w:hint="eastAsia" w:ascii="宋体" w:hAnsi="宋体" w:cs="宋体"/>
                <w:kern w:val="0"/>
                <w:sz w:val="24"/>
                <w:szCs w:val="24"/>
              </w:rPr>
            </w:pPr>
            <w:r>
              <w:rPr>
                <w:rFonts w:hint="eastAsia" w:ascii="宋体" w:hAnsi="宋体" w:cs="宋体"/>
                <w:kern w:val="0"/>
                <w:sz w:val="24"/>
                <w:szCs w:val="24"/>
              </w:rPr>
              <w:t>1) 支持分类查看当前用户收到的、发起的、仅保存的批注，同时支持按照待处理、已接受、不接受进行分类筛选；</w:t>
            </w:r>
            <w:r>
              <w:rPr>
                <w:rFonts w:hint="eastAsia" w:ascii="宋体" w:hAnsi="宋体" w:cs="宋体"/>
                <w:kern w:val="0"/>
                <w:sz w:val="24"/>
                <w:szCs w:val="24"/>
              </w:rPr>
              <w:br w:type="textWrapping"/>
            </w:r>
            <w:r>
              <w:rPr>
                <w:rFonts w:hint="eastAsia" w:ascii="宋体" w:hAnsi="宋体" w:cs="宋体"/>
                <w:kern w:val="0"/>
                <w:sz w:val="24"/>
                <w:szCs w:val="24"/>
              </w:rPr>
              <w:t>2) 支持对于整改批注消息进行处理，选择是否接受，支持填写不接受理由；</w:t>
            </w:r>
            <w:r>
              <w:rPr>
                <w:rFonts w:hint="eastAsia" w:ascii="宋体" w:hAnsi="宋体" w:cs="宋体"/>
                <w:kern w:val="0"/>
                <w:sz w:val="24"/>
                <w:szCs w:val="24"/>
              </w:rPr>
              <w:br w:type="textWrapping"/>
            </w:r>
            <w:r>
              <w:rPr>
                <w:rFonts w:hint="eastAsia" w:ascii="宋体" w:hAnsi="宋体" w:cs="宋体"/>
                <w:kern w:val="0"/>
                <w:sz w:val="24"/>
                <w:szCs w:val="24"/>
              </w:rPr>
              <w:t>3) 消息列表支持直接打开清单详情页，支持对清单进行编辑与审核操作；</w:t>
            </w:r>
            <w:r>
              <w:rPr>
                <w:rFonts w:hint="eastAsia" w:ascii="宋体" w:hAnsi="宋体" w:cs="宋体"/>
                <w:kern w:val="0"/>
                <w:sz w:val="24"/>
                <w:szCs w:val="24"/>
              </w:rPr>
              <w:br w:type="textWrapping"/>
            </w:r>
            <w:r>
              <w:rPr>
                <w:rFonts w:hint="eastAsia" w:ascii="宋体" w:hAnsi="宋体" w:cs="宋体"/>
                <w:kern w:val="0"/>
                <w:sz w:val="24"/>
                <w:szCs w:val="24"/>
              </w:rPr>
              <w:t>4) 支持在收到批注、批注回复消息时在系统内主动弹窗提示。</w:t>
            </w:r>
          </w:p>
        </w:tc>
      </w:tr>
      <w:tr w14:paraId="7FB2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vAlign w:val="center"/>
          </w:tcPr>
          <w:p w14:paraId="24D6CCDA">
            <w:pPr>
              <w:spacing w:line="276" w:lineRule="auto"/>
              <w:jc w:val="center"/>
              <w:rPr>
                <w:rFonts w:hint="eastAsia" w:ascii="宋体" w:hAnsi="宋体" w:cs="宋体"/>
                <w:kern w:val="0"/>
                <w:sz w:val="24"/>
                <w:szCs w:val="24"/>
              </w:rPr>
            </w:pPr>
            <w:r>
              <w:rPr>
                <w:rFonts w:hint="eastAsia" w:ascii="宋体" w:hAnsi="宋体" w:cs="宋体"/>
                <w:kern w:val="0"/>
                <w:sz w:val="24"/>
                <w:szCs w:val="24"/>
              </w:rPr>
              <w:t>清单质量分析</w:t>
            </w:r>
          </w:p>
        </w:tc>
        <w:tc>
          <w:tcPr>
            <w:tcW w:w="1134" w:type="dxa"/>
            <w:vAlign w:val="center"/>
          </w:tcPr>
          <w:p w14:paraId="5F7D9DA9">
            <w:pPr>
              <w:spacing w:line="276" w:lineRule="auto"/>
              <w:jc w:val="left"/>
              <w:rPr>
                <w:rFonts w:hint="eastAsia" w:ascii="宋体" w:hAnsi="宋体" w:cs="宋体"/>
                <w:kern w:val="0"/>
                <w:sz w:val="24"/>
                <w:szCs w:val="24"/>
              </w:rPr>
            </w:pPr>
            <w:r>
              <w:rPr>
                <w:rFonts w:hint="eastAsia" w:ascii="宋体" w:hAnsi="宋体" w:cs="宋体"/>
                <w:kern w:val="0"/>
                <w:sz w:val="24"/>
                <w:szCs w:val="24"/>
              </w:rPr>
              <w:t>问题分布情况</w:t>
            </w:r>
          </w:p>
        </w:tc>
        <w:tc>
          <w:tcPr>
            <w:tcW w:w="6379" w:type="dxa"/>
            <w:vAlign w:val="center"/>
          </w:tcPr>
          <w:p w14:paraId="71164DC2">
            <w:pPr>
              <w:spacing w:line="276" w:lineRule="auto"/>
              <w:jc w:val="left"/>
              <w:rPr>
                <w:rFonts w:hint="eastAsia" w:ascii="宋体" w:hAnsi="宋体" w:cs="宋体"/>
                <w:kern w:val="0"/>
                <w:sz w:val="24"/>
                <w:szCs w:val="24"/>
              </w:rPr>
            </w:pPr>
            <w:r>
              <w:rPr>
                <w:rFonts w:hint="eastAsia" w:ascii="宋体" w:hAnsi="宋体" w:cs="宋体"/>
                <w:kern w:val="0"/>
                <w:sz w:val="24"/>
                <w:szCs w:val="24"/>
              </w:rPr>
              <w:t>支持以月、季、年为统计区间，按院内结算时间或出院时间、科室、医疗组等维度分析问题清单。</w:t>
            </w:r>
            <w:r>
              <w:rPr>
                <w:rFonts w:hint="eastAsia" w:ascii="宋体" w:hAnsi="宋体" w:cs="宋体"/>
                <w:kern w:val="0"/>
                <w:sz w:val="24"/>
                <w:szCs w:val="24"/>
              </w:rPr>
              <w:br w:type="textWrapping"/>
            </w:r>
            <w:r>
              <w:rPr>
                <w:rFonts w:hint="eastAsia" w:ascii="宋体" w:hAnsi="宋体" w:cs="宋体"/>
                <w:kern w:val="0"/>
                <w:sz w:val="24"/>
                <w:szCs w:val="24"/>
              </w:rPr>
              <w:t>1) 支持按重要性、质控内容、影响范围维度查看问题清单分布概况，包括强制性问题、提示性问题、编码问题、非编码问题、影响入组问题、可能影响入组问题、不影响入组问题清单的数量和占比；</w:t>
            </w:r>
            <w:r>
              <w:rPr>
                <w:rFonts w:hint="eastAsia" w:ascii="宋体" w:hAnsi="宋体" w:cs="宋体"/>
                <w:kern w:val="0"/>
                <w:sz w:val="24"/>
                <w:szCs w:val="24"/>
              </w:rPr>
              <w:br w:type="textWrapping"/>
            </w:r>
            <w:r>
              <w:rPr>
                <w:rFonts w:hint="eastAsia" w:ascii="宋体" w:hAnsi="宋体" w:cs="宋体"/>
                <w:kern w:val="0"/>
                <w:sz w:val="24"/>
                <w:szCs w:val="24"/>
              </w:rPr>
              <w:t>2) 支持按问题清单类型，查看各科室的分布情况及占比，支持查看科室下对应的清单问题类型分布及占比情况，可下钻查看对应的清单详情；</w:t>
            </w:r>
            <w:r>
              <w:rPr>
                <w:rFonts w:hint="eastAsia" w:ascii="宋体" w:hAnsi="宋体" w:cs="宋体"/>
                <w:kern w:val="0"/>
                <w:sz w:val="24"/>
                <w:szCs w:val="24"/>
              </w:rPr>
              <w:br w:type="textWrapping"/>
            </w:r>
            <w:r>
              <w:rPr>
                <w:rFonts w:hint="eastAsia" w:ascii="宋体" w:hAnsi="宋体" w:cs="宋体"/>
                <w:kern w:val="0"/>
                <w:sz w:val="24"/>
                <w:szCs w:val="24"/>
              </w:rPr>
              <w:t>3) 支持按主治医师、编码员分析问题清单的数量，可下钻查看对应的清单详情，支持下载导出列表。</w:t>
            </w:r>
          </w:p>
        </w:tc>
      </w:tr>
      <w:tr w14:paraId="333F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6B714FA6">
            <w:pPr>
              <w:spacing w:line="276" w:lineRule="auto"/>
              <w:jc w:val="left"/>
              <w:rPr>
                <w:rFonts w:hint="eastAsia" w:ascii="宋体" w:hAnsi="宋体" w:cs="宋体"/>
                <w:kern w:val="0"/>
                <w:sz w:val="24"/>
                <w:szCs w:val="24"/>
              </w:rPr>
            </w:pPr>
          </w:p>
        </w:tc>
        <w:tc>
          <w:tcPr>
            <w:tcW w:w="1134" w:type="dxa"/>
            <w:vAlign w:val="center"/>
          </w:tcPr>
          <w:p w14:paraId="75098A83">
            <w:pPr>
              <w:spacing w:line="276" w:lineRule="auto"/>
              <w:jc w:val="left"/>
              <w:rPr>
                <w:rFonts w:hint="eastAsia" w:ascii="宋体" w:hAnsi="宋体" w:cs="宋体"/>
                <w:kern w:val="0"/>
                <w:sz w:val="24"/>
                <w:szCs w:val="24"/>
              </w:rPr>
            </w:pPr>
            <w:r>
              <w:rPr>
                <w:rFonts w:hint="eastAsia" w:ascii="宋体" w:hAnsi="宋体" w:cs="宋体"/>
                <w:kern w:val="0"/>
                <w:sz w:val="24"/>
                <w:szCs w:val="24"/>
              </w:rPr>
              <w:t>问题清单趋势</w:t>
            </w:r>
          </w:p>
        </w:tc>
        <w:tc>
          <w:tcPr>
            <w:tcW w:w="6379" w:type="dxa"/>
            <w:vAlign w:val="center"/>
          </w:tcPr>
          <w:p w14:paraId="0A13C37F">
            <w:pPr>
              <w:spacing w:line="276" w:lineRule="auto"/>
              <w:jc w:val="left"/>
              <w:rPr>
                <w:rFonts w:hint="eastAsia" w:ascii="宋体" w:hAnsi="宋体" w:cs="宋体"/>
                <w:kern w:val="0"/>
                <w:sz w:val="24"/>
                <w:szCs w:val="24"/>
              </w:rPr>
            </w:pPr>
            <w:r>
              <w:rPr>
                <w:rFonts w:hint="eastAsia" w:ascii="宋体" w:hAnsi="宋体" w:cs="宋体"/>
                <w:kern w:val="0"/>
                <w:sz w:val="24"/>
                <w:szCs w:val="24"/>
              </w:rPr>
              <w:t>1) 支持多维度筛选条件，通过图表展示问题清单数量、占比的变化趋势。</w:t>
            </w:r>
          </w:p>
        </w:tc>
      </w:tr>
      <w:tr w14:paraId="3973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vAlign w:val="center"/>
          </w:tcPr>
          <w:p w14:paraId="29445E92">
            <w:pPr>
              <w:spacing w:line="276" w:lineRule="auto"/>
              <w:jc w:val="center"/>
              <w:rPr>
                <w:rFonts w:hint="eastAsia" w:ascii="宋体" w:hAnsi="宋体" w:cs="宋体"/>
                <w:kern w:val="0"/>
                <w:sz w:val="24"/>
                <w:szCs w:val="24"/>
              </w:rPr>
            </w:pPr>
            <w:r>
              <w:rPr>
                <w:rFonts w:hint="eastAsia" w:ascii="宋体" w:hAnsi="宋体" w:cs="宋体"/>
                <w:kern w:val="0"/>
                <w:sz w:val="24"/>
                <w:szCs w:val="24"/>
              </w:rPr>
              <w:t>清单成就分析</w:t>
            </w:r>
          </w:p>
        </w:tc>
        <w:tc>
          <w:tcPr>
            <w:tcW w:w="1134" w:type="dxa"/>
            <w:vAlign w:val="center"/>
          </w:tcPr>
          <w:p w14:paraId="3EECCFA5">
            <w:pPr>
              <w:spacing w:line="276" w:lineRule="auto"/>
              <w:jc w:val="left"/>
              <w:rPr>
                <w:rFonts w:hint="eastAsia" w:ascii="宋体" w:hAnsi="宋体" w:cs="宋体"/>
                <w:kern w:val="0"/>
                <w:sz w:val="24"/>
                <w:szCs w:val="24"/>
              </w:rPr>
            </w:pPr>
            <w:r>
              <w:rPr>
                <w:rFonts w:hint="eastAsia" w:ascii="宋体" w:hAnsi="宋体" w:cs="宋体"/>
                <w:kern w:val="0"/>
                <w:sz w:val="24"/>
                <w:szCs w:val="24"/>
              </w:rPr>
              <w:t>清单调整情况</w:t>
            </w:r>
          </w:p>
        </w:tc>
        <w:tc>
          <w:tcPr>
            <w:tcW w:w="6379" w:type="dxa"/>
            <w:vAlign w:val="center"/>
          </w:tcPr>
          <w:p w14:paraId="1DE6C728">
            <w:pPr>
              <w:spacing w:line="276" w:lineRule="auto"/>
              <w:jc w:val="left"/>
              <w:rPr>
                <w:rFonts w:hint="eastAsia" w:ascii="宋体" w:hAnsi="宋体" w:cs="宋体"/>
                <w:kern w:val="0"/>
                <w:sz w:val="24"/>
                <w:szCs w:val="24"/>
              </w:rPr>
            </w:pPr>
            <w:r>
              <w:rPr>
                <w:rFonts w:hint="eastAsia" w:ascii="宋体" w:hAnsi="宋体" w:cs="宋体"/>
                <w:kern w:val="0"/>
                <w:sz w:val="24"/>
                <w:szCs w:val="24"/>
              </w:rPr>
              <w:t>支持以月、季、年为统计区间，按院内结算时间或出院时间、科室、医疗组等维度分析清单调整情况。</w:t>
            </w:r>
            <w:r>
              <w:rPr>
                <w:rFonts w:hint="eastAsia" w:ascii="宋体" w:hAnsi="宋体" w:cs="宋体"/>
                <w:kern w:val="0"/>
                <w:sz w:val="24"/>
                <w:szCs w:val="24"/>
              </w:rPr>
              <w:br w:type="textWrapping"/>
            </w:r>
            <w:r>
              <w:rPr>
                <w:rFonts w:hint="eastAsia" w:ascii="宋体" w:hAnsi="宋体" w:cs="宋体"/>
                <w:kern w:val="0"/>
                <w:sz w:val="24"/>
                <w:szCs w:val="24"/>
              </w:rPr>
              <w:t>1) 支持多维度筛选结算清单，可视化展示已调整清单和未调整清单的具体数量及占比。</w:t>
            </w:r>
            <w:r>
              <w:rPr>
                <w:rFonts w:hint="eastAsia" w:ascii="宋体" w:hAnsi="宋体" w:cs="宋体"/>
                <w:kern w:val="0"/>
                <w:sz w:val="24"/>
                <w:szCs w:val="24"/>
              </w:rPr>
              <w:br w:type="textWrapping"/>
            </w:r>
            <w:r>
              <w:rPr>
                <w:rFonts w:hint="eastAsia" w:ascii="宋体" w:hAnsi="宋体" w:cs="宋体"/>
                <w:kern w:val="0"/>
                <w:sz w:val="24"/>
                <w:szCs w:val="24"/>
              </w:rPr>
              <w:t>2) 支持对已调整清单进行分类筛选，包括调整前后分组不一致、主要诊断不一致、其它诊断不一致、主要手术不一致、其它手术不一致；</w:t>
            </w:r>
            <w:r>
              <w:rPr>
                <w:rFonts w:hint="eastAsia" w:ascii="宋体" w:hAnsi="宋体" w:cs="宋体"/>
                <w:kern w:val="0"/>
                <w:sz w:val="24"/>
                <w:szCs w:val="24"/>
              </w:rPr>
              <w:br w:type="textWrapping"/>
            </w:r>
            <w:r>
              <w:rPr>
                <w:rFonts w:hint="eastAsia" w:ascii="宋体" w:hAnsi="宋体" w:cs="宋体"/>
                <w:kern w:val="0"/>
                <w:sz w:val="24"/>
                <w:szCs w:val="24"/>
              </w:rPr>
              <w:t>3) 支持查看调整清单分类的具体数量及占比，支持查看每一分类下具体科室和病例情况，支持查看具体科室清单调整前后点数差、结余差、修正问题数，支持查看清单调整前后具体对比，支持下载导出列表。</w:t>
            </w:r>
          </w:p>
        </w:tc>
      </w:tr>
      <w:tr w14:paraId="53EC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0F60595D">
            <w:pPr>
              <w:spacing w:line="276" w:lineRule="auto"/>
              <w:jc w:val="left"/>
              <w:rPr>
                <w:rFonts w:hint="eastAsia" w:ascii="宋体" w:hAnsi="宋体" w:cs="宋体"/>
                <w:kern w:val="0"/>
                <w:sz w:val="24"/>
                <w:szCs w:val="24"/>
              </w:rPr>
            </w:pPr>
          </w:p>
        </w:tc>
        <w:tc>
          <w:tcPr>
            <w:tcW w:w="1134" w:type="dxa"/>
            <w:vAlign w:val="center"/>
          </w:tcPr>
          <w:p w14:paraId="7E50EE84">
            <w:pPr>
              <w:spacing w:line="276" w:lineRule="auto"/>
              <w:jc w:val="left"/>
              <w:rPr>
                <w:rFonts w:hint="eastAsia" w:ascii="宋体" w:hAnsi="宋体" w:cs="宋体"/>
                <w:kern w:val="0"/>
                <w:sz w:val="24"/>
                <w:szCs w:val="24"/>
              </w:rPr>
            </w:pPr>
            <w:r>
              <w:rPr>
                <w:rFonts w:hint="eastAsia" w:ascii="宋体" w:hAnsi="宋体" w:cs="宋体"/>
                <w:kern w:val="0"/>
                <w:sz w:val="24"/>
                <w:szCs w:val="24"/>
              </w:rPr>
              <w:t>清单调整前后对比分析</w:t>
            </w:r>
          </w:p>
        </w:tc>
        <w:tc>
          <w:tcPr>
            <w:tcW w:w="6379" w:type="dxa"/>
            <w:vAlign w:val="center"/>
          </w:tcPr>
          <w:p w14:paraId="01DB44D4">
            <w:pPr>
              <w:spacing w:line="276" w:lineRule="auto"/>
              <w:jc w:val="left"/>
              <w:rPr>
                <w:rFonts w:hint="eastAsia" w:ascii="宋体" w:hAnsi="宋体" w:cs="宋体"/>
                <w:kern w:val="0"/>
                <w:sz w:val="24"/>
                <w:szCs w:val="24"/>
              </w:rPr>
            </w:pPr>
            <w:r>
              <w:rPr>
                <w:rFonts w:hint="eastAsia" w:ascii="宋体" w:hAnsi="宋体" w:cs="宋体"/>
                <w:kern w:val="0"/>
                <w:sz w:val="24"/>
                <w:szCs w:val="24"/>
              </w:rPr>
              <w:t>1) 支持多维度筛选条件，通过图表展示清单调整前后结余分析、质控问题分析，支持查看总点数差、结余差、修正问题数。</w:t>
            </w:r>
          </w:p>
        </w:tc>
      </w:tr>
      <w:tr w14:paraId="6828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vAlign w:val="center"/>
          </w:tcPr>
          <w:p w14:paraId="262EB28E">
            <w:pPr>
              <w:spacing w:line="276" w:lineRule="auto"/>
              <w:jc w:val="center"/>
              <w:rPr>
                <w:rFonts w:hint="eastAsia" w:ascii="宋体" w:hAnsi="宋体" w:cs="宋体"/>
                <w:kern w:val="0"/>
                <w:sz w:val="24"/>
                <w:szCs w:val="24"/>
              </w:rPr>
            </w:pPr>
            <w:r>
              <w:rPr>
                <w:rFonts w:hint="eastAsia" w:ascii="宋体" w:hAnsi="宋体" w:cs="宋体"/>
                <w:kern w:val="0"/>
                <w:sz w:val="24"/>
                <w:szCs w:val="24"/>
              </w:rPr>
              <w:t>系统设置</w:t>
            </w:r>
          </w:p>
        </w:tc>
        <w:tc>
          <w:tcPr>
            <w:tcW w:w="1134" w:type="dxa"/>
            <w:vAlign w:val="center"/>
          </w:tcPr>
          <w:p w14:paraId="6884AB6E">
            <w:pPr>
              <w:spacing w:line="276" w:lineRule="auto"/>
              <w:jc w:val="center"/>
              <w:rPr>
                <w:rFonts w:hint="eastAsia" w:ascii="宋体" w:hAnsi="宋体" w:cs="宋体"/>
                <w:kern w:val="0"/>
                <w:sz w:val="24"/>
                <w:szCs w:val="24"/>
              </w:rPr>
            </w:pPr>
            <w:r>
              <w:rPr>
                <w:rFonts w:hint="eastAsia" w:ascii="宋体" w:hAnsi="宋体" w:cs="宋体"/>
                <w:kern w:val="0"/>
                <w:sz w:val="24"/>
                <w:szCs w:val="24"/>
              </w:rPr>
              <w:t>医保结算清单质控规则</w:t>
            </w:r>
          </w:p>
        </w:tc>
        <w:tc>
          <w:tcPr>
            <w:tcW w:w="6379" w:type="dxa"/>
            <w:vAlign w:val="center"/>
          </w:tcPr>
          <w:p w14:paraId="44B17D7E">
            <w:pPr>
              <w:spacing w:line="276" w:lineRule="auto"/>
              <w:jc w:val="left"/>
              <w:rPr>
                <w:rFonts w:hint="eastAsia" w:ascii="宋体" w:hAnsi="宋体" w:cs="宋体"/>
                <w:kern w:val="0"/>
                <w:sz w:val="24"/>
                <w:szCs w:val="24"/>
              </w:rPr>
            </w:pPr>
            <w:r>
              <w:rPr>
                <w:rFonts w:hint="eastAsia" w:ascii="宋体" w:hAnsi="宋体" w:cs="宋体"/>
                <w:kern w:val="0"/>
                <w:sz w:val="24"/>
                <w:szCs w:val="24"/>
              </w:rPr>
              <w:t>1) 系统提供专家知识库规则、</w:t>
            </w:r>
            <w:r>
              <w:rPr>
                <w:rFonts w:hint="eastAsia" w:ascii="宋体" w:hAnsi="宋体" w:cs="宋体"/>
                <w:kern w:val="0"/>
                <w:sz w:val="24"/>
                <w:szCs w:val="24"/>
                <w:lang w:eastAsia="zh-CN"/>
              </w:rPr>
              <w:t>DRGs</w:t>
            </w:r>
            <w:r>
              <w:rPr>
                <w:rFonts w:hint="eastAsia" w:ascii="宋体" w:hAnsi="宋体" w:cs="宋体"/>
                <w:kern w:val="0"/>
                <w:sz w:val="24"/>
                <w:szCs w:val="24"/>
              </w:rPr>
              <w:t>专项规则，费用专项规则，通过实时质控保证清单的完整性、逻辑性和准确性；</w:t>
            </w:r>
            <w:r>
              <w:rPr>
                <w:rFonts w:hint="eastAsia" w:ascii="宋体" w:hAnsi="宋体" w:cs="宋体"/>
                <w:kern w:val="0"/>
                <w:sz w:val="24"/>
                <w:szCs w:val="24"/>
              </w:rPr>
              <w:br w:type="textWrapping"/>
            </w:r>
            <w:r>
              <w:rPr>
                <w:rFonts w:hint="eastAsia" w:ascii="宋体" w:hAnsi="宋体" w:cs="宋体"/>
                <w:kern w:val="0"/>
                <w:sz w:val="24"/>
                <w:szCs w:val="24"/>
              </w:rPr>
              <w:t>2) 支持个性化开启/关闭质控规则，支持批量启用/停用；</w:t>
            </w:r>
            <w:r>
              <w:rPr>
                <w:rFonts w:hint="eastAsia" w:ascii="宋体" w:hAnsi="宋体" w:cs="宋体"/>
                <w:kern w:val="0"/>
                <w:sz w:val="24"/>
                <w:szCs w:val="24"/>
              </w:rPr>
              <w:br w:type="textWrapping"/>
            </w:r>
            <w:r>
              <w:rPr>
                <w:rFonts w:hint="eastAsia" w:ascii="宋体" w:hAnsi="宋体" w:cs="宋体"/>
                <w:kern w:val="0"/>
                <w:sz w:val="24"/>
                <w:szCs w:val="24"/>
              </w:rPr>
              <w:t>3) 支持个性化配置质控规则的强制性/提示性属性，强制性规则校验不通过时，不允许提交结算清单。</w:t>
            </w:r>
          </w:p>
        </w:tc>
      </w:tr>
      <w:tr w14:paraId="0617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663F9625">
            <w:pPr>
              <w:spacing w:line="276" w:lineRule="auto"/>
              <w:jc w:val="left"/>
              <w:rPr>
                <w:rFonts w:hint="eastAsia" w:ascii="宋体" w:hAnsi="宋体" w:cs="宋体"/>
                <w:kern w:val="0"/>
                <w:sz w:val="24"/>
                <w:szCs w:val="24"/>
              </w:rPr>
            </w:pPr>
          </w:p>
        </w:tc>
        <w:tc>
          <w:tcPr>
            <w:tcW w:w="1134" w:type="dxa"/>
            <w:vAlign w:val="center"/>
          </w:tcPr>
          <w:p w14:paraId="30700320">
            <w:pPr>
              <w:spacing w:line="276" w:lineRule="auto"/>
              <w:jc w:val="center"/>
              <w:rPr>
                <w:rFonts w:hint="eastAsia" w:ascii="宋体" w:hAnsi="宋体" w:cs="宋体"/>
                <w:kern w:val="0"/>
                <w:sz w:val="24"/>
                <w:szCs w:val="24"/>
              </w:rPr>
            </w:pPr>
            <w:r>
              <w:rPr>
                <w:rFonts w:hint="eastAsia" w:ascii="宋体" w:hAnsi="宋体" w:cs="宋体"/>
                <w:kern w:val="0"/>
                <w:sz w:val="24"/>
                <w:szCs w:val="24"/>
              </w:rPr>
              <w:t>清单流程设置</w:t>
            </w:r>
          </w:p>
        </w:tc>
        <w:tc>
          <w:tcPr>
            <w:tcW w:w="6379" w:type="dxa"/>
            <w:vAlign w:val="center"/>
          </w:tcPr>
          <w:p w14:paraId="5434BBDD">
            <w:pPr>
              <w:spacing w:line="276" w:lineRule="auto"/>
              <w:jc w:val="left"/>
              <w:rPr>
                <w:rFonts w:hint="eastAsia" w:ascii="宋体" w:hAnsi="宋体" w:cs="宋体"/>
                <w:kern w:val="0"/>
                <w:sz w:val="24"/>
                <w:szCs w:val="24"/>
              </w:rPr>
            </w:pPr>
            <w:r>
              <w:rPr>
                <w:rFonts w:hint="eastAsia" w:ascii="宋体" w:hAnsi="宋体" w:cs="宋体"/>
                <w:kern w:val="0"/>
                <w:sz w:val="24"/>
                <w:szCs w:val="24"/>
              </w:rPr>
              <w:t>支持根据医院实际情况，自定义配置结算清单管理流程；</w:t>
            </w:r>
            <w:r>
              <w:rPr>
                <w:rFonts w:hint="eastAsia" w:ascii="宋体" w:hAnsi="宋体" w:cs="宋体"/>
                <w:kern w:val="0"/>
                <w:sz w:val="24"/>
                <w:szCs w:val="24"/>
              </w:rPr>
              <w:br w:type="textWrapping"/>
            </w:r>
            <w:r>
              <w:rPr>
                <w:rFonts w:hint="eastAsia" w:ascii="宋体" w:hAnsi="宋体" w:cs="宋体"/>
                <w:kern w:val="0"/>
                <w:sz w:val="24"/>
                <w:szCs w:val="24"/>
              </w:rPr>
              <w:t>1) 支持个性化配置结算清单管理全流程，例如：生成-初审-上报、生成-初审-复审-上报、生成-初审-复审-终审-上报；</w:t>
            </w:r>
            <w:r>
              <w:rPr>
                <w:rFonts w:hint="eastAsia" w:ascii="宋体" w:hAnsi="宋体" w:cs="宋体"/>
                <w:kern w:val="0"/>
                <w:sz w:val="24"/>
                <w:szCs w:val="24"/>
              </w:rPr>
              <w:br w:type="textWrapping"/>
            </w:r>
            <w:r>
              <w:rPr>
                <w:rFonts w:hint="eastAsia" w:ascii="宋体" w:hAnsi="宋体" w:cs="宋体"/>
                <w:kern w:val="0"/>
                <w:sz w:val="24"/>
                <w:szCs w:val="24"/>
              </w:rPr>
              <w:t>2) 支持在结算清单管理流程节点中配置对应角色和用户；</w:t>
            </w:r>
            <w:r>
              <w:rPr>
                <w:rFonts w:hint="eastAsia" w:ascii="宋体" w:hAnsi="宋体" w:cs="宋体"/>
                <w:kern w:val="0"/>
                <w:sz w:val="24"/>
                <w:szCs w:val="24"/>
              </w:rPr>
              <w:br w:type="textWrapping"/>
            </w:r>
            <w:r>
              <w:rPr>
                <w:rFonts w:hint="eastAsia" w:ascii="宋体" w:hAnsi="宋体" w:cs="宋体"/>
                <w:kern w:val="0"/>
                <w:sz w:val="24"/>
                <w:szCs w:val="24"/>
              </w:rPr>
              <w:t>3) 流程节点支持多种审核类型，包括全量人工审核、人工+条件自动审核、无条件自动审核；</w:t>
            </w:r>
            <w:r>
              <w:rPr>
                <w:rFonts w:hint="eastAsia" w:ascii="宋体" w:hAnsi="宋体" w:cs="宋体"/>
                <w:kern w:val="0"/>
                <w:sz w:val="24"/>
                <w:szCs w:val="24"/>
              </w:rPr>
              <w:br w:type="textWrapping"/>
            </w:r>
            <w:r>
              <w:rPr>
                <w:rFonts w:hint="eastAsia" w:ascii="宋体" w:hAnsi="宋体" w:cs="宋体"/>
                <w:kern w:val="0"/>
                <w:sz w:val="24"/>
                <w:szCs w:val="24"/>
              </w:rPr>
              <w:t>4) 支持按照患者结算时间、出院时间、上报日期设置审核时限；支持对审核超时的清单配置进入下一流程或保持当前流程；</w:t>
            </w:r>
            <w:r>
              <w:rPr>
                <w:rFonts w:hint="eastAsia" w:ascii="宋体" w:hAnsi="宋体" w:cs="宋体"/>
                <w:kern w:val="0"/>
                <w:sz w:val="24"/>
                <w:szCs w:val="24"/>
              </w:rPr>
              <w:br w:type="textWrapping"/>
            </w:r>
            <w:r>
              <w:rPr>
                <w:rFonts w:hint="eastAsia" w:ascii="宋体" w:hAnsi="宋体" w:cs="宋体"/>
                <w:kern w:val="0"/>
                <w:sz w:val="24"/>
                <w:szCs w:val="24"/>
              </w:rPr>
              <w:t>5) 支持按病例类型、质控问题、异常入院的维度配置自动审核条件；满足校验条件通过的清单可自动进入下一个流程。</w:t>
            </w:r>
          </w:p>
        </w:tc>
      </w:tr>
      <w:tr w14:paraId="548F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gridSpan w:val="2"/>
            <w:vAlign w:val="center"/>
          </w:tcPr>
          <w:p w14:paraId="5FF6122E">
            <w:pPr>
              <w:spacing w:line="276" w:lineRule="auto"/>
              <w:jc w:val="center"/>
              <w:rPr>
                <w:rFonts w:hint="eastAsia" w:ascii="宋体" w:hAnsi="宋体" w:cs="宋体"/>
                <w:kern w:val="0"/>
                <w:sz w:val="24"/>
                <w:szCs w:val="24"/>
              </w:rPr>
            </w:pPr>
            <w:r>
              <w:rPr>
                <w:rFonts w:ascii="宋体" w:hAnsi="宋体" w:cs="宋体"/>
                <w:kern w:val="0"/>
                <w:sz w:val="24"/>
                <w:szCs w:val="24"/>
              </w:rPr>
              <w:t>结算清单开放</w:t>
            </w:r>
            <w:r>
              <w:rPr>
                <w:rFonts w:hint="eastAsia" w:ascii="宋体" w:hAnsi="宋体" w:cs="宋体"/>
                <w:kern w:val="0"/>
                <w:sz w:val="24"/>
                <w:szCs w:val="24"/>
              </w:rPr>
              <w:t>标准</w:t>
            </w:r>
            <w:r>
              <w:rPr>
                <w:rFonts w:ascii="宋体" w:hAnsi="宋体" w:cs="宋体"/>
                <w:kern w:val="0"/>
                <w:sz w:val="24"/>
                <w:szCs w:val="24"/>
              </w:rPr>
              <w:t>接口</w:t>
            </w:r>
          </w:p>
        </w:tc>
        <w:tc>
          <w:tcPr>
            <w:tcW w:w="6379" w:type="dxa"/>
            <w:vAlign w:val="center"/>
          </w:tcPr>
          <w:p w14:paraId="7E24604C">
            <w:pPr>
              <w:spacing w:line="276" w:lineRule="auto"/>
              <w:jc w:val="left"/>
              <w:rPr>
                <w:rFonts w:hint="eastAsia" w:ascii="宋体" w:hAnsi="宋体" w:cs="宋体"/>
                <w:kern w:val="0"/>
                <w:sz w:val="24"/>
                <w:szCs w:val="24"/>
              </w:rPr>
            </w:pPr>
            <w:r>
              <w:rPr>
                <w:rFonts w:hint="eastAsia" w:ascii="宋体" w:hAnsi="宋体" w:cs="宋体"/>
                <w:kern w:val="0"/>
                <w:sz w:val="24"/>
                <w:szCs w:val="24"/>
              </w:rPr>
              <w:t>以标准视图方式提供质控完成的清单数据，支持</w:t>
            </w:r>
            <w:r>
              <w:rPr>
                <w:rFonts w:ascii="宋体" w:hAnsi="宋体" w:cs="宋体"/>
                <w:kern w:val="0"/>
                <w:sz w:val="24"/>
                <w:szCs w:val="24"/>
              </w:rPr>
              <w:t>HIS及第三方调用获取并上传医保局。</w:t>
            </w:r>
          </w:p>
        </w:tc>
      </w:tr>
    </w:tbl>
    <w:p w14:paraId="64001A92">
      <w:pPr>
        <w:pStyle w:val="2"/>
        <w:rPr>
          <w:rFonts w:hint="eastAsia"/>
        </w:rPr>
      </w:pPr>
    </w:p>
    <w:bookmarkEnd w:id="3"/>
    <w:p w14:paraId="1C804A49">
      <w:pPr>
        <w:pStyle w:val="2"/>
      </w:pPr>
    </w:p>
    <w:sectPr>
      <w:headerReference r:id="rId3" w:type="default"/>
      <w:footerReference r:id="rId4" w:type="default"/>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8"/>
      </w:rPr>
      <w:id w:val="-226846063"/>
    </w:sdtPr>
    <w:sdtEndPr>
      <w:rPr>
        <w:rStyle w:val="38"/>
      </w:rPr>
    </w:sdtEndPr>
    <w:sdtContent>
      <w:p w14:paraId="0EB4B6B2">
        <w:pPr>
          <w:pStyle w:val="23"/>
          <w:framePr w:wrap="around" w:vAnchor="text" w:hAnchor="margin" w:xAlign="center" w:y="1"/>
          <w:rPr>
            <w:rStyle w:val="38"/>
          </w:rPr>
        </w:pPr>
        <w:r>
          <w:rPr>
            <w:rStyle w:val="38"/>
          </w:rPr>
          <w:fldChar w:fldCharType="begin"/>
        </w:r>
        <w:r>
          <w:rPr>
            <w:rStyle w:val="38"/>
          </w:rPr>
          <w:instrText xml:space="preserve"> PAGE </w:instrText>
        </w:r>
        <w:r>
          <w:rPr>
            <w:rStyle w:val="38"/>
          </w:rPr>
          <w:fldChar w:fldCharType="separate"/>
        </w:r>
        <w:r>
          <w:rPr>
            <w:rStyle w:val="38"/>
          </w:rPr>
          <w:t>7</w:t>
        </w:r>
        <w:r>
          <w:rPr>
            <w:rStyle w:val="38"/>
          </w:rPr>
          <w:fldChar w:fldCharType="end"/>
        </w:r>
      </w:p>
    </w:sdtContent>
  </w:sdt>
  <w:p w14:paraId="45D1844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B7C27">
    <w:pPr>
      <w:pStyle w:val="24"/>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12220"/>
    <w:multiLevelType w:val="singleLevel"/>
    <w:tmpl w:val="9FA12220"/>
    <w:lvl w:ilvl="0" w:tentative="0">
      <w:start w:val="1"/>
      <w:numFmt w:val="decimal"/>
      <w:suff w:val="space"/>
      <w:lvlText w:val="%1."/>
      <w:lvlJc w:val="left"/>
    </w:lvl>
  </w:abstractNum>
  <w:abstractNum w:abstractNumId="1">
    <w:nsid w:val="ACEFF89E"/>
    <w:multiLevelType w:val="singleLevel"/>
    <w:tmpl w:val="ACEFF89E"/>
    <w:lvl w:ilvl="0" w:tentative="0">
      <w:start w:val="1"/>
      <w:numFmt w:val="decimal"/>
      <w:suff w:val="space"/>
      <w:lvlText w:val="%1."/>
      <w:lvlJc w:val="left"/>
    </w:lvl>
  </w:abstractNum>
  <w:abstractNum w:abstractNumId="2">
    <w:nsid w:val="20A502F6"/>
    <w:multiLevelType w:val="multilevel"/>
    <w:tmpl w:val="20A502F6"/>
    <w:lvl w:ilvl="0" w:tentative="0">
      <w:start w:val="1"/>
      <w:numFmt w:val="decimal"/>
      <w:pStyle w:val="3"/>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4CA75A52"/>
    <w:multiLevelType w:val="multilevel"/>
    <w:tmpl w:val="4CA75A52"/>
    <w:lvl w:ilvl="0" w:tentative="0">
      <w:start w:val="1"/>
      <w:numFmt w:val="decimal"/>
      <w:pStyle w:val="82"/>
      <w:suff w:val="nothing"/>
      <w:lvlText w:val="（%1）"/>
      <w:lvlJc w:val="left"/>
      <w:pPr>
        <w:ind w:left="1135" w:firstLine="0"/>
      </w:pPr>
      <w:rPr>
        <w:rFonts w:hint="eastAsia"/>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suff w:val="nothing"/>
      <w:lvlText w:val="%2）"/>
      <w:lvlJc w:val="left"/>
      <w:pPr>
        <w:ind w:left="1130" w:firstLine="0"/>
      </w:pPr>
      <w:rPr>
        <w:rFonts w:hint="eastAsia"/>
      </w:rPr>
    </w:lvl>
    <w:lvl w:ilvl="2" w:tentative="0">
      <w:start w:val="1"/>
      <w:numFmt w:val="lowerRoman"/>
      <w:lvlText w:val="%3."/>
      <w:lvlJc w:val="right"/>
      <w:pPr>
        <w:ind w:left="1550" w:firstLine="0"/>
      </w:pPr>
      <w:rPr>
        <w:rFonts w:hint="eastAsia"/>
      </w:rPr>
    </w:lvl>
    <w:lvl w:ilvl="3" w:tentative="0">
      <w:start w:val="1"/>
      <w:numFmt w:val="decimal"/>
      <w:lvlText w:val="%4）"/>
      <w:lvlJc w:val="left"/>
      <w:pPr>
        <w:ind w:left="1970" w:firstLine="0"/>
      </w:pPr>
      <w:rPr>
        <w:rFonts w:hint="eastAsia"/>
      </w:rPr>
    </w:lvl>
    <w:lvl w:ilvl="4" w:tentative="0">
      <w:start w:val="1"/>
      <w:numFmt w:val="lowerLetter"/>
      <w:lvlText w:val="%5)"/>
      <w:lvlJc w:val="left"/>
      <w:pPr>
        <w:ind w:left="2390" w:firstLine="0"/>
      </w:pPr>
      <w:rPr>
        <w:rFonts w:hint="eastAsia"/>
      </w:rPr>
    </w:lvl>
    <w:lvl w:ilvl="5" w:tentative="0">
      <w:start w:val="1"/>
      <w:numFmt w:val="lowerRoman"/>
      <w:lvlText w:val="%6."/>
      <w:lvlJc w:val="right"/>
      <w:pPr>
        <w:ind w:left="2810" w:firstLine="0"/>
      </w:pPr>
      <w:rPr>
        <w:rFonts w:hint="eastAsia"/>
      </w:rPr>
    </w:lvl>
    <w:lvl w:ilvl="6" w:tentative="0">
      <w:start w:val="1"/>
      <w:numFmt w:val="decimal"/>
      <w:lvlText w:val="%7."/>
      <w:lvlJc w:val="left"/>
      <w:pPr>
        <w:ind w:left="3230" w:firstLine="0"/>
      </w:pPr>
      <w:rPr>
        <w:rFonts w:hint="eastAsia"/>
      </w:rPr>
    </w:lvl>
    <w:lvl w:ilvl="7" w:tentative="0">
      <w:start w:val="1"/>
      <w:numFmt w:val="lowerLetter"/>
      <w:lvlText w:val="%8)"/>
      <w:lvlJc w:val="left"/>
      <w:pPr>
        <w:ind w:left="3650" w:firstLine="0"/>
      </w:pPr>
      <w:rPr>
        <w:rFonts w:hint="eastAsia"/>
      </w:rPr>
    </w:lvl>
    <w:lvl w:ilvl="8" w:tentative="0">
      <w:start w:val="1"/>
      <w:numFmt w:val="lowerRoman"/>
      <w:lvlText w:val="%9."/>
      <w:lvlJc w:val="right"/>
      <w:pPr>
        <w:ind w:left="4070" w:firstLine="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drawingGridHorizontalSpacing w:val="105"/>
  <w:drawingGridVerticalSpacing w:val="163"/>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73"/>
    <w:rsid w:val="000029BF"/>
    <w:rsid w:val="00004073"/>
    <w:rsid w:val="000063E8"/>
    <w:rsid w:val="00007A60"/>
    <w:rsid w:val="0001190C"/>
    <w:rsid w:val="00012F19"/>
    <w:rsid w:val="00014939"/>
    <w:rsid w:val="000206F9"/>
    <w:rsid w:val="00032454"/>
    <w:rsid w:val="00033EAC"/>
    <w:rsid w:val="000345AB"/>
    <w:rsid w:val="000378DB"/>
    <w:rsid w:val="00041CF9"/>
    <w:rsid w:val="0004416B"/>
    <w:rsid w:val="000469CD"/>
    <w:rsid w:val="000544E1"/>
    <w:rsid w:val="000546F5"/>
    <w:rsid w:val="00054D8D"/>
    <w:rsid w:val="00054FF4"/>
    <w:rsid w:val="0005714E"/>
    <w:rsid w:val="00060B12"/>
    <w:rsid w:val="00064C58"/>
    <w:rsid w:val="00065052"/>
    <w:rsid w:val="0007010E"/>
    <w:rsid w:val="00070955"/>
    <w:rsid w:val="00073FE1"/>
    <w:rsid w:val="000744F4"/>
    <w:rsid w:val="000754EA"/>
    <w:rsid w:val="00075BE2"/>
    <w:rsid w:val="00077647"/>
    <w:rsid w:val="0008339A"/>
    <w:rsid w:val="00091D08"/>
    <w:rsid w:val="00095690"/>
    <w:rsid w:val="000A1E74"/>
    <w:rsid w:val="000A3B43"/>
    <w:rsid w:val="000A3F55"/>
    <w:rsid w:val="000A560E"/>
    <w:rsid w:val="000B57BD"/>
    <w:rsid w:val="000B7654"/>
    <w:rsid w:val="000C323D"/>
    <w:rsid w:val="000C37C9"/>
    <w:rsid w:val="000C4509"/>
    <w:rsid w:val="000C6577"/>
    <w:rsid w:val="000C6E22"/>
    <w:rsid w:val="000D3B6C"/>
    <w:rsid w:val="000D4063"/>
    <w:rsid w:val="000D5C0E"/>
    <w:rsid w:val="000E0B6C"/>
    <w:rsid w:val="000E2397"/>
    <w:rsid w:val="000E2D99"/>
    <w:rsid w:val="000E3CDE"/>
    <w:rsid w:val="000E3E84"/>
    <w:rsid w:val="000E45F0"/>
    <w:rsid w:val="000E5254"/>
    <w:rsid w:val="000E7071"/>
    <w:rsid w:val="000E7799"/>
    <w:rsid w:val="000F543D"/>
    <w:rsid w:val="000F6764"/>
    <w:rsid w:val="000F6968"/>
    <w:rsid w:val="001008FE"/>
    <w:rsid w:val="001034A9"/>
    <w:rsid w:val="00103B2A"/>
    <w:rsid w:val="00103EFD"/>
    <w:rsid w:val="0010422C"/>
    <w:rsid w:val="00105A82"/>
    <w:rsid w:val="00105B2D"/>
    <w:rsid w:val="001102F9"/>
    <w:rsid w:val="0011401D"/>
    <w:rsid w:val="00121A23"/>
    <w:rsid w:val="00122BDE"/>
    <w:rsid w:val="00124A99"/>
    <w:rsid w:val="00133AAF"/>
    <w:rsid w:val="0013692C"/>
    <w:rsid w:val="00141D48"/>
    <w:rsid w:val="00151959"/>
    <w:rsid w:val="00154E78"/>
    <w:rsid w:val="001579E4"/>
    <w:rsid w:val="00160756"/>
    <w:rsid w:val="0016349B"/>
    <w:rsid w:val="00164E0E"/>
    <w:rsid w:val="001722D8"/>
    <w:rsid w:val="00180C8B"/>
    <w:rsid w:val="00181498"/>
    <w:rsid w:val="0018266F"/>
    <w:rsid w:val="00185209"/>
    <w:rsid w:val="00187F71"/>
    <w:rsid w:val="0019385C"/>
    <w:rsid w:val="00194C7D"/>
    <w:rsid w:val="001A3099"/>
    <w:rsid w:val="001A3DFB"/>
    <w:rsid w:val="001A4D33"/>
    <w:rsid w:val="001B20CC"/>
    <w:rsid w:val="001C0065"/>
    <w:rsid w:val="001C196B"/>
    <w:rsid w:val="001C4367"/>
    <w:rsid w:val="001C4D61"/>
    <w:rsid w:val="001D0653"/>
    <w:rsid w:val="001D0A45"/>
    <w:rsid w:val="001D551B"/>
    <w:rsid w:val="001F020A"/>
    <w:rsid w:val="001F3E96"/>
    <w:rsid w:val="001F4F04"/>
    <w:rsid w:val="001F54B0"/>
    <w:rsid w:val="001F642E"/>
    <w:rsid w:val="002006D7"/>
    <w:rsid w:val="00200F3A"/>
    <w:rsid w:val="002028E3"/>
    <w:rsid w:val="00206AEC"/>
    <w:rsid w:val="00210149"/>
    <w:rsid w:val="00211C25"/>
    <w:rsid w:val="002161C9"/>
    <w:rsid w:val="00216348"/>
    <w:rsid w:val="0022330A"/>
    <w:rsid w:val="0022360A"/>
    <w:rsid w:val="00227BF3"/>
    <w:rsid w:val="00230E9F"/>
    <w:rsid w:val="00231321"/>
    <w:rsid w:val="00232857"/>
    <w:rsid w:val="00233116"/>
    <w:rsid w:val="00236F0B"/>
    <w:rsid w:val="00241AFE"/>
    <w:rsid w:val="002448C7"/>
    <w:rsid w:val="00245D79"/>
    <w:rsid w:val="002478AA"/>
    <w:rsid w:val="00254CD8"/>
    <w:rsid w:val="00260512"/>
    <w:rsid w:val="002645F8"/>
    <w:rsid w:val="00264C3E"/>
    <w:rsid w:val="0027142B"/>
    <w:rsid w:val="00274547"/>
    <w:rsid w:val="00275DA9"/>
    <w:rsid w:val="00281401"/>
    <w:rsid w:val="0029140C"/>
    <w:rsid w:val="00294EE3"/>
    <w:rsid w:val="00295C60"/>
    <w:rsid w:val="002A3B2D"/>
    <w:rsid w:val="002A3C62"/>
    <w:rsid w:val="002B6C29"/>
    <w:rsid w:val="002B7FA0"/>
    <w:rsid w:val="002C1766"/>
    <w:rsid w:val="002C187F"/>
    <w:rsid w:val="002C2C81"/>
    <w:rsid w:val="002C343D"/>
    <w:rsid w:val="002C3A27"/>
    <w:rsid w:val="002D4A6C"/>
    <w:rsid w:val="002D57B1"/>
    <w:rsid w:val="002E0823"/>
    <w:rsid w:val="002E46F5"/>
    <w:rsid w:val="002E5089"/>
    <w:rsid w:val="002E5365"/>
    <w:rsid w:val="002E5A06"/>
    <w:rsid w:val="002F1B10"/>
    <w:rsid w:val="002F48F8"/>
    <w:rsid w:val="00300E87"/>
    <w:rsid w:val="00301A04"/>
    <w:rsid w:val="003025C9"/>
    <w:rsid w:val="00313AD7"/>
    <w:rsid w:val="00313B4B"/>
    <w:rsid w:val="00315866"/>
    <w:rsid w:val="00324C7B"/>
    <w:rsid w:val="00334230"/>
    <w:rsid w:val="00343D4C"/>
    <w:rsid w:val="003445B6"/>
    <w:rsid w:val="00344AAD"/>
    <w:rsid w:val="00344ED9"/>
    <w:rsid w:val="0034504F"/>
    <w:rsid w:val="00351DE9"/>
    <w:rsid w:val="003564BE"/>
    <w:rsid w:val="00362D08"/>
    <w:rsid w:val="00363662"/>
    <w:rsid w:val="00367374"/>
    <w:rsid w:val="0036787D"/>
    <w:rsid w:val="00380A9B"/>
    <w:rsid w:val="00381C67"/>
    <w:rsid w:val="00385BDB"/>
    <w:rsid w:val="0038656F"/>
    <w:rsid w:val="003901EF"/>
    <w:rsid w:val="00391421"/>
    <w:rsid w:val="00393CF6"/>
    <w:rsid w:val="00395A81"/>
    <w:rsid w:val="003A09D4"/>
    <w:rsid w:val="003A4577"/>
    <w:rsid w:val="003A790A"/>
    <w:rsid w:val="003B1943"/>
    <w:rsid w:val="003C0092"/>
    <w:rsid w:val="003C4572"/>
    <w:rsid w:val="003C4E8B"/>
    <w:rsid w:val="003D1D42"/>
    <w:rsid w:val="003D2E76"/>
    <w:rsid w:val="003D68A1"/>
    <w:rsid w:val="003E7282"/>
    <w:rsid w:val="003E73F3"/>
    <w:rsid w:val="003F1C58"/>
    <w:rsid w:val="003F2460"/>
    <w:rsid w:val="003F5FBB"/>
    <w:rsid w:val="003F7FB3"/>
    <w:rsid w:val="004041DA"/>
    <w:rsid w:val="00416113"/>
    <w:rsid w:val="00416C32"/>
    <w:rsid w:val="00426D73"/>
    <w:rsid w:val="00430723"/>
    <w:rsid w:val="00430AFE"/>
    <w:rsid w:val="004325CF"/>
    <w:rsid w:val="00434EC2"/>
    <w:rsid w:val="00436671"/>
    <w:rsid w:val="00436EB8"/>
    <w:rsid w:val="00440014"/>
    <w:rsid w:val="00442A44"/>
    <w:rsid w:val="00445AEF"/>
    <w:rsid w:val="00447849"/>
    <w:rsid w:val="00452933"/>
    <w:rsid w:val="0045580A"/>
    <w:rsid w:val="00455B63"/>
    <w:rsid w:val="00456254"/>
    <w:rsid w:val="00457B51"/>
    <w:rsid w:val="00457C19"/>
    <w:rsid w:val="004602DB"/>
    <w:rsid w:val="0046060B"/>
    <w:rsid w:val="004645DE"/>
    <w:rsid w:val="00464F8E"/>
    <w:rsid w:val="004742E1"/>
    <w:rsid w:val="00476121"/>
    <w:rsid w:val="00482A87"/>
    <w:rsid w:val="00486A0D"/>
    <w:rsid w:val="00486ABB"/>
    <w:rsid w:val="00486D94"/>
    <w:rsid w:val="004905F7"/>
    <w:rsid w:val="004914E3"/>
    <w:rsid w:val="0049325D"/>
    <w:rsid w:val="00496D54"/>
    <w:rsid w:val="004A065A"/>
    <w:rsid w:val="004A1E41"/>
    <w:rsid w:val="004A3403"/>
    <w:rsid w:val="004A7DAC"/>
    <w:rsid w:val="004A7E50"/>
    <w:rsid w:val="004B3D2C"/>
    <w:rsid w:val="004B55A1"/>
    <w:rsid w:val="004B7BBD"/>
    <w:rsid w:val="004C0334"/>
    <w:rsid w:val="004C25E1"/>
    <w:rsid w:val="004C447C"/>
    <w:rsid w:val="004C7915"/>
    <w:rsid w:val="004D6C79"/>
    <w:rsid w:val="004E0C6C"/>
    <w:rsid w:val="004E595C"/>
    <w:rsid w:val="004F3854"/>
    <w:rsid w:val="004F48BC"/>
    <w:rsid w:val="004F5365"/>
    <w:rsid w:val="0050115C"/>
    <w:rsid w:val="00502357"/>
    <w:rsid w:val="00503E5F"/>
    <w:rsid w:val="00507059"/>
    <w:rsid w:val="0051067C"/>
    <w:rsid w:val="00511B7E"/>
    <w:rsid w:val="00511CF1"/>
    <w:rsid w:val="005137DC"/>
    <w:rsid w:val="005147BF"/>
    <w:rsid w:val="00515C08"/>
    <w:rsid w:val="00522926"/>
    <w:rsid w:val="00526CE0"/>
    <w:rsid w:val="005273D6"/>
    <w:rsid w:val="00532D0F"/>
    <w:rsid w:val="00533E42"/>
    <w:rsid w:val="00541E9C"/>
    <w:rsid w:val="005466C3"/>
    <w:rsid w:val="00547588"/>
    <w:rsid w:val="005478B6"/>
    <w:rsid w:val="005516EE"/>
    <w:rsid w:val="00551AA4"/>
    <w:rsid w:val="005521C6"/>
    <w:rsid w:val="005540E8"/>
    <w:rsid w:val="0055594D"/>
    <w:rsid w:val="005630E6"/>
    <w:rsid w:val="005679DA"/>
    <w:rsid w:val="005704D8"/>
    <w:rsid w:val="00581068"/>
    <w:rsid w:val="005836E5"/>
    <w:rsid w:val="00584B77"/>
    <w:rsid w:val="00586861"/>
    <w:rsid w:val="00592F7E"/>
    <w:rsid w:val="0059482B"/>
    <w:rsid w:val="0059495D"/>
    <w:rsid w:val="00595801"/>
    <w:rsid w:val="00596257"/>
    <w:rsid w:val="005A02B4"/>
    <w:rsid w:val="005A357B"/>
    <w:rsid w:val="005A4FA4"/>
    <w:rsid w:val="005B1B2B"/>
    <w:rsid w:val="005B2631"/>
    <w:rsid w:val="005C00E9"/>
    <w:rsid w:val="005C2322"/>
    <w:rsid w:val="005C3B9B"/>
    <w:rsid w:val="005C4CF3"/>
    <w:rsid w:val="005C7111"/>
    <w:rsid w:val="005D4AA8"/>
    <w:rsid w:val="005D7BDE"/>
    <w:rsid w:val="005E3DDE"/>
    <w:rsid w:val="005F1726"/>
    <w:rsid w:val="005F223D"/>
    <w:rsid w:val="005F2CD9"/>
    <w:rsid w:val="005F3B14"/>
    <w:rsid w:val="005F5CCA"/>
    <w:rsid w:val="00601865"/>
    <w:rsid w:val="00601EA4"/>
    <w:rsid w:val="006030DC"/>
    <w:rsid w:val="00604030"/>
    <w:rsid w:val="006063CF"/>
    <w:rsid w:val="006065CB"/>
    <w:rsid w:val="0061238D"/>
    <w:rsid w:val="00612989"/>
    <w:rsid w:val="006161C7"/>
    <w:rsid w:val="006222CE"/>
    <w:rsid w:val="00623BB2"/>
    <w:rsid w:val="0062548F"/>
    <w:rsid w:val="00631042"/>
    <w:rsid w:val="006317FA"/>
    <w:rsid w:val="0063650D"/>
    <w:rsid w:val="006419EA"/>
    <w:rsid w:val="006421EE"/>
    <w:rsid w:val="00645233"/>
    <w:rsid w:val="006513E0"/>
    <w:rsid w:val="00651D33"/>
    <w:rsid w:val="00662E15"/>
    <w:rsid w:val="006638FE"/>
    <w:rsid w:val="00666D9B"/>
    <w:rsid w:val="00667020"/>
    <w:rsid w:val="00671583"/>
    <w:rsid w:val="00672C94"/>
    <w:rsid w:val="00675C6F"/>
    <w:rsid w:val="006812C1"/>
    <w:rsid w:val="00682AA6"/>
    <w:rsid w:val="00685A38"/>
    <w:rsid w:val="00685A6C"/>
    <w:rsid w:val="006904A5"/>
    <w:rsid w:val="00694F0F"/>
    <w:rsid w:val="0069510B"/>
    <w:rsid w:val="00697AC2"/>
    <w:rsid w:val="006A2098"/>
    <w:rsid w:val="006A2ADA"/>
    <w:rsid w:val="006A3707"/>
    <w:rsid w:val="006B231F"/>
    <w:rsid w:val="006B5B0A"/>
    <w:rsid w:val="006C1072"/>
    <w:rsid w:val="006C1D8F"/>
    <w:rsid w:val="006C5146"/>
    <w:rsid w:val="006C7B29"/>
    <w:rsid w:val="006D7BE2"/>
    <w:rsid w:val="006E1ABD"/>
    <w:rsid w:val="006E6A2F"/>
    <w:rsid w:val="006F2A64"/>
    <w:rsid w:val="00704032"/>
    <w:rsid w:val="0070415C"/>
    <w:rsid w:val="007053F8"/>
    <w:rsid w:val="00711BA1"/>
    <w:rsid w:val="007156E0"/>
    <w:rsid w:val="007219FC"/>
    <w:rsid w:val="00722B97"/>
    <w:rsid w:val="0072554D"/>
    <w:rsid w:val="007266F7"/>
    <w:rsid w:val="00726D3E"/>
    <w:rsid w:val="00731CB5"/>
    <w:rsid w:val="007327E4"/>
    <w:rsid w:val="00732CBA"/>
    <w:rsid w:val="0073691D"/>
    <w:rsid w:val="00737400"/>
    <w:rsid w:val="00744A89"/>
    <w:rsid w:val="00744BA8"/>
    <w:rsid w:val="00747B96"/>
    <w:rsid w:val="0075348D"/>
    <w:rsid w:val="00754DDF"/>
    <w:rsid w:val="00760297"/>
    <w:rsid w:val="007627DF"/>
    <w:rsid w:val="00762D06"/>
    <w:rsid w:val="00771C01"/>
    <w:rsid w:val="00772670"/>
    <w:rsid w:val="00773F5B"/>
    <w:rsid w:val="0077695E"/>
    <w:rsid w:val="007769E0"/>
    <w:rsid w:val="0078272E"/>
    <w:rsid w:val="00791064"/>
    <w:rsid w:val="0079374F"/>
    <w:rsid w:val="00794826"/>
    <w:rsid w:val="007953C6"/>
    <w:rsid w:val="00796EA2"/>
    <w:rsid w:val="007972D6"/>
    <w:rsid w:val="007A541B"/>
    <w:rsid w:val="007A5D4A"/>
    <w:rsid w:val="007B2BD3"/>
    <w:rsid w:val="007B5BB6"/>
    <w:rsid w:val="007B6A43"/>
    <w:rsid w:val="007B71A1"/>
    <w:rsid w:val="007C36CC"/>
    <w:rsid w:val="007C41BE"/>
    <w:rsid w:val="007C5CBC"/>
    <w:rsid w:val="007D10CD"/>
    <w:rsid w:val="007D1FF6"/>
    <w:rsid w:val="007D268E"/>
    <w:rsid w:val="007D31DF"/>
    <w:rsid w:val="007D4678"/>
    <w:rsid w:val="007D4E2B"/>
    <w:rsid w:val="007E05D0"/>
    <w:rsid w:val="007E1EE7"/>
    <w:rsid w:val="007E78AA"/>
    <w:rsid w:val="007F5AC2"/>
    <w:rsid w:val="0080142F"/>
    <w:rsid w:val="008015CB"/>
    <w:rsid w:val="008025F4"/>
    <w:rsid w:val="0081063F"/>
    <w:rsid w:val="00812A61"/>
    <w:rsid w:val="00814986"/>
    <w:rsid w:val="00816E7C"/>
    <w:rsid w:val="00817441"/>
    <w:rsid w:val="0081772A"/>
    <w:rsid w:val="00817B9E"/>
    <w:rsid w:val="00820B1E"/>
    <w:rsid w:val="00823566"/>
    <w:rsid w:val="0082539B"/>
    <w:rsid w:val="008259A1"/>
    <w:rsid w:val="00826E10"/>
    <w:rsid w:val="00831765"/>
    <w:rsid w:val="0083319C"/>
    <w:rsid w:val="00833DF3"/>
    <w:rsid w:val="008363FC"/>
    <w:rsid w:val="00836472"/>
    <w:rsid w:val="008456D2"/>
    <w:rsid w:val="0085002E"/>
    <w:rsid w:val="00852648"/>
    <w:rsid w:val="00853E9B"/>
    <w:rsid w:val="00866491"/>
    <w:rsid w:val="008700A2"/>
    <w:rsid w:val="008715B4"/>
    <w:rsid w:val="00871A9E"/>
    <w:rsid w:val="00871F5C"/>
    <w:rsid w:val="00873CAD"/>
    <w:rsid w:val="00877CDC"/>
    <w:rsid w:val="008824E0"/>
    <w:rsid w:val="00885735"/>
    <w:rsid w:val="00885BA3"/>
    <w:rsid w:val="00886D63"/>
    <w:rsid w:val="00887176"/>
    <w:rsid w:val="00893395"/>
    <w:rsid w:val="008968FB"/>
    <w:rsid w:val="008A0501"/>
    <w:rsid w:val="008A256E"/>
    <w:rsid w:val="008A57AF"/>
    <w:rsid w:val="008A6D52"/>
    <w:rsid w:val="008B138D"/>
    <w:rsid w:val="008B393E"/>
    <w:rsid w:val="008B4322"/>
    <w:rsid w:val="008B6A9F"/>
    <w:rsid w:val="008C2583"/>
    <w:rsid w:val="008C797D"/>
    <w:rsid w:val="008D5DBA"/>
    <w:rsid w:val="008D78A9"/>
    <w:rsid w:val="008E5607"/>
    <w:rsid w:val="008E6D8F"/>
    <w:rsid w:val="008F007C"/>
    <w:rsid w:val="008F1C36"/>
    <w:rsid w:val="008F701F"/>
    <w:rsid w:val="0090055A"/>
    <w:rsid w:val="00902B97"/>
    <w:rsid w:val="0090698F"/>
    <w:rsid w:val="0090787E"/>
    <w:rsid w:val="00910FD3"/>
    <w:rsid w:val="009112D3"/>
    <w:rsid w:val="0091189D"/>
    <w:rsid w:val="00912928"/>
    <w:rsid w:val="009168FB"/>
    <w:rsid w:val="00917174"/>
    <w:rsid w:val="009177EA"/>
    <w:rsid w:val="00917800"/>
    <w:rsid w:val="00920CB9"/>
    <w:rsid w:val="00921C5A"/>
    <w:rsid w:val="009235B1"/>
    <w:rsid w:val="009246A1"/>
    <w:rsid w:val="0092767B"/>
    <w:rsid w:val="0093039A"/>
    <w:rsid w:val="0093222D"/>
    <w:rsid w:val="00932A90"/>
    <w:rsid w:val="009335BF"/>
    <w:rsid w:val="00946E7D"/>
    <w:rsid w:val="00950572"/>
    <w:rsid w:val="00950B81"/>
    <w:rsid w:val="0095158B"/>
    <w:rsid w:val="009557AA"/>
    <w:rsid w:val="00957A0F"/>
    <w:rsid w:val="00961BE8"/>
    <w:rsid w:val="00962E38"/>
    <w:rsid w:val="0096457D"/>
    <w:rsid w:val="0096472F"/>
    <w:rsid w:val="00965BC5"/>
    <w:rsid w:val="00965F57"/>
    <w:rsid w:val="00966683"/>
    <w:rsid w:val="0098070D"/>
    <w:rsid w:val="009853CC"/>
    <w:rsid w:val="00985556"/>
    <w:rsid w:val="00987F13"/>
    <w:rsid w:val="00992DBA"/>
    <w:rsid w:val="0099330C"/>
    <w:rsid w:val="009933D1"/>
    <w:rsid w:val="0099614A"/>
    <w:rsid w:val="00996B84"/>
    <w:rsid w:val="00997BEE"/>
    <w:rsid w:val="009A0C1A"/>
    <w:rsid w:val="009A1FC1"/>
    <w:rsid w:val="009A40E4"/>
    <w:rsid w:val="009A4C27"/>
    <w:rsid w:val="009A4F47"/>
    <w:rsid w:val="009A7913"/>
    <w:rsid w:val="009B17FF"/>
    <w:rsid w:val="009B2B45"/>
    <w:rsid w:val="009B3CFB"/>
    <w:rsid w:val="009B43E2"/>
    <w:rsid w:val="009C0513"/>
    <w:rsid w:val="009C13A9"/>
    <w:rsid w:val="009C27FE"/>
    <w:rsid w:val="009C4CD7"/>
    <w:rsid w:val="009C5BED"/>
    <w:rsid w:val="009D04CB"/>
    <w:rsid w:val="009D1C6D"/>
    <w:rsid w:val="009D3CEE"/>
    <w:rsid w:val="009D62CF"/>
    <w:rsid w:val="009D6536"/>
    <w:rsid w:val="009E230B"/>
    <w:rsid w:val="009F0AF0"/>
    <w:rsid w:val="009F0AFF"/>
    <w:rsid w:val="009F0B42"/>
    <w:rsid w:val="009F2197"/>
    <w:rsid w:val="009F260A"/>
    <w:rsid w:val="009F28D4"/>
    <w:rsid w:val="009F5877"/>
    <w:rsid w:val="009F58F1"/>
    <w:rsid w:val="009F7FD1"/>
    <w:rsid w:val="00A0075F"/>
    <w:rsid w:val="00A026CB"/>
    <w:rsid w:val="00A042B5"/>
    <w:rsid w:val="00A15FED"/>
    <w:rsid w:val="00A22302"/>
    <w:rsid w:val="00A257F8"/>
    <w:rsid w:val="00A30DC8"/>
    <w:rsid w:val="00A30F3B"/>
    <w:rsid w:val="00A346D5"/>
    <w:rsid w:val="00A41220"/>
    <w:rsid w:val="00A41D38"/>
    <w:rsid w:val="00A44AB5"/>
    <w:rsid w:val="00A456F6"/>
    <w:rsid w:val="00A46212"/>
    <w:rsid w:val="00A46F90"/>
    <w:rsid w:val="00A51649"/>
    <w:rsid w:val="00A532EF"/>
    <w:rsid w:val="00A5453F"/>
    <w:rsid w:val="00A54CC9"/>
    <w:rsid w:val="00A5548C"/>
    <w:rsid w:val="00A557D9"/>
    <w:rsid w:val="00A57CF0"/>
    <w:rsid w:val="00A618F2"/>
    <w:rsid w:val="00A61A1B"/>
    <w:rsid w:val="00A6320C"/>
    <w:rsid w:val="00A66FE7"/>
    <w:rsid w:val="00A72B1E"/>
    <w:rsid w:val="00A770CA"/>
    <w:rsid w:val="00A779F9"/>
    <w:rsid w:val="00A80181"/>
    <w:rsid w:val="00A83975"/>
    <w:rsid w:val="00A92AFC"/>
    <w:rsid w:val="00A92C56"/>
    <w:rsid w:val="00AA2A92"/>
    <w:rsid w:val="00AA37D4"/>
    <w:rsid w:val="00AA6704"/>
    <w:rsid w:val="00AB18AD"/>
    <w:rsid w:val="00AB1D50"/>
    <w:rsid w:val="00AB4BEB"/>
    <w:rsid w:val="00AC28AE"/>
    <w:rsid w:val="00AC5DF5"/>
    <w:rsid w:val="00AC61BA"/>
    <w:rsid w:val="00AE16B9"/>
    <w:rsid w:val="00AE3739"/>
    <w:rsid w:val="00AE3D3F"/>
    <w:rsid w:val="00AE56C1"/>
    <w:rsid w:val="00AF1B7D"/>
    <w:rsid w:val="00AF2CBD"/>
    <w:rsid w:val="00AF31F6"/>
    <w:rsid w:val="00AF4ADC"/>
    <w:rsid w:val="00AF7C45"/>
    <w:rsid w:val="00B0236D"/>
    <w:rsid w:val="00B03DD5"/>
    <w:rsid w:val="00B049AA"/>
    <w:rsid w:val="00B107D0"/>
    <w:rsid w:val="00B12E4A"/>
    <w:rsid w:val="00B137AC"/>
    <w:rsid w:val="00B16B9A"/>
    <w:rsid w:val="00B3362B"/>
    <w:rsid w:val="00B366E7"/>
    <w:rsid w:val="00B379A8"/>
    <w:rsid w:val="00B529CB"/>
    <w:rsid w:val="00B53501"/>
    <w:rsid w:val="00B55CF5"/>
    <w:rsid w:val="00B55FE1"/>
    <w:rsid w:val="00B60404"/>
    <w:rsid w:val="00B61D50"/>
    <w:rsid w:val="00B64749"/>
    <w:rsid w:val="00B65299"/>
    <w:rsid w:val="00B72195"/>
    <w:rsid w:val="00B73A3A"/>
    <w:rsid w:val="00B7738B"/>
    <w:rsid w:val="00B77C18"/>
    <w:rsid w:val="00B80FDC"/>
    <w:rsid w:val="00B840B3"/>
    <w:rsid w:val="00B869AB"/>
    <w:rsid w:val="00B86B74"/>
    <w:rsid w:val="00B95539"/>
    <w:rsid w:val="00B97114"/>
    <w:rsid w:val="00B97972"/>
    <w:rsid w:val="00B97E0B"/>
    <w:rsid w:val="00BA076F"/>
    <w:rsid w:val="00BA2165"/>
    <w:rsid w:val="00BA3BED"/>
    <w:rsid w:val="00BA59A0"/>
    <w:rsid w:val="00BB289D"/>
    <w:rsid w:val="00BB2E84"/>
    <w:rsid w:val="00BB4DA9"/>
    <w:rsid w:val="00BB6936"/>
    <w:rsid w:val="00BC174B"/>
    <w:rsid w:val="00BC48CB"/>
    <w:rsid w:val="00BD396F"/>
    <w:rsid w:val="00BD3CC6"/>
    <w:rsid w:val="00BD6A6F"/>
    <w:rsid w:val="00BE066B"/>
    <w:rsid w:val="00BE0FD3"/>
    <w:rsid w:val="00BE1782"/>
    <w:rsid w:val="00BE1CE2"/>
    <w:rsid w:val="00BF08B7"/>
    <w:rsid w:val="00BF1791"/>
    <w:rsid w:val="00BF1D66"/>
    <w:rsid w:val="00BF44A8"/>
    <w:rsid w:val="00BF4707"/>
    <w:rsid w:val="00BF48E1"/>
    <w:rsid w:val="00BF5016"/>
    <w:rsid w:val="00BF616B"/>
    <w:rsid w:val="00BF7C25"/>
    <w:rsid w:val="00C04D60"/>
    <w:rsid w:val="00C0565A"/>
    <w:rsid w:val="00C0596A"/>
    <w:rsid w:val="00C06794"/>
    <w:rsid w:val="00C16B75"/>
    <w:rsid w:val="00C17FBF"/>
    <w:rsid w:val="00C245E8"/>
    <w:rsid w:val="00C2498F"/>
    <w:rsid w:val="00C25CDB"/>
    <w:rsid w:val="00C27722"/>
    <w:rsid w:val="00C307C6"/>
    <w:rsid w:val="00C31857"/>
    <w:rsid w:val="00C31B9A"/>
    <w:rsid w:val="00C37C29"/>
    <w:rsid w:val="00C41A87"/>
    <w:rsid w:val="00C422A1"/>
    <w:rsid w:val="00C42877"/>
    <w:rsid w:val="00C4498F"/>
    <w:rsid w:val="00C46A22"/>
    <w:rsid w:val="00C475AD"/>
    <w:rsid w:val="00C50ECC"/>
    <w:rsid w:val="00C51029"/>
    <w:rsid w:val="00C569E1"/>
    <w:rsid w:val="00C57088"/>
    <w:rsid w:val="00C616EF"/>
    <w:rsid w:val="00C65F06"/>
    <w:rsid w:val="00C71414"/>
    <w:rsid w:val="00C73B14"/>
    <w:rsid w:val="00C76E09"/>
    <w:rsid w:val="00C806A5"/>
    <w:rsid w:val="00C85606"/>
    <w:rsid w:val="00C870C8"/>
    <w:rsid w:val="00C94497"/>
    <w:rsid w:val="00C948F2"/>
    <w:rsid w:val="00CA0C2C"/>
    <w:rsid w:val="00CA1AA2"/>
    <w:rsid w:val="00CA1F90"/>
    <w:rsid w:val="00CA68D5"/>
    <w:rsid w:val="00CA6BD7"/>
    <w:rsid w:val="00CA7B7A"/>
    <w:rsid w:val="00CB5262"/>
    <w:rsid w:val="00CB583F"/>
    <w:rsid w:val="00CC0489"/>
    <w:rsid w:val="00CC3BF9"/>
    <w:rsid w:val="00CC3D6F"/>
    <w:rsid w:val="00CC5F2B"/>
    <w:rsid w:val="00CC6BB0"/>
    <w:rsid w:val="00CD2C86"/>
    <w:rsid w:val="00CE52C0"/>
    <w:rsid w:val="00CE713B"/>
    <w:rsid w:val="00CF1F2F"/>
    <w:rsid w:val="00D00D08"/>
    <w:rsid w:val="00D01C63"/>
    <w:rsid w:val="00D01E9D"/>
    <w:rsid w:val="00D02FE5"/>
    <w:rsid w:val="00D13313"/>
    <w:rsid w:val="00D1542C"/>
    <w:rsid w:val="00D21D5D"/>
    <w:rsid w:val="00D2314F"/>
    <w:rsid w:val="00D2568B"/>
    <w:rsid w:val="00D304EA"/>
    <w:rsid w:val="00D3091C"/>
    <w:rsid w:val="00D312B8"/>
    <w:rsid w:val="00D31A59"/>
    <w:rsid w:val="00D33902"/>
    <w:rsid w:val="00D34C57"/>
    <w:rsid w:val="00D35917"/>
    <w:rsid w:val="00D35B88"/>
    <w:rsid w:val="00D51F8F"/>
    <w:rsid w:val="00D57A4B"/>
    <w:rsid w:val="00D619D3"/>
    <w:rsid w:val="00D628C6"/>
    <w:rsid w:val="00D646F1"/>
    <w:rsid w:val="00D64BD5"/>
    <w:rsid w:val="00D6579E"/>
    <w:rsid w:val="00D662E3"/>
    <w:rsid w:val="00D6755E"/>
    <w:rsid w:val="00D7324E"/>
    <w:rsid w:val="00D75113"/>
    <w:rsid w:val="00D752D6"/>
    <w:rsid w:val="00D8187C"/>
    <w:rsid w:val="00D91618"/>
    <w:rsid w:val="00D957DB"/>
    <w:rsid w:val="00D96552"/>
    <w:rsid w:val="00DA47D1"/>
    <w:rsid w:val="00DA620F"/>
    <w:rsid w:val="00DA6E32"/>
    <w:rsid w:val="00DA74CB"/>
    <w:rsid w:val="00DB1EBF"/>
    <w:rsid w:val="00DB2B32"/>
    <w:rsid w:val="00DC3BEC"/>
    <w:rsid w:val="00DC54F7"/>
    <w:rsid w:val="00DC6C0B"/>
    <w:rsid w:val="00DD7B2E"/>
    <w:rsid w:val="00DE6B1B"/>
    <w:rsid w:val="00DF09F2"/>
    <w:rsid w:val="00DF1AE8"/>
    <w:rsid w:val="00DF4277"/>
    <w:rsid w:val="00DF60E2"/>
    <w:rsid w:val="00E00E46"/>
    <w:rsid w:val="00E0127C"/>
    <w:rsid w:val="00E07A80"/>
    <w:rsid w:val="00E12804"/>
    <w:rsid w:val="00E2114A"/>
    <w:rsid w:val="00E24A13"/>
    <w:rsid w:val="00E250D0"/>
    <w:rsid w:val="00E25186"/>
    <w:rsid w:val="00E25797"/>
    <w:rsid w:val="00E25D85"/>
    <w:rsid w:val="00E277E3"/>
    <w:rsid w:val="00E32C13"/>
    <w:rsid w:val="00E33F80"/>
    <w:rsid w:val="00E34839"/>
    <w:rsid w:val="00E35087"/>
    <w:rsid w:val="00E35FB6"/>
    <w:rsid w:val="00E372F2"/>
    <w:rsid w:val="00E445F7"/>
    <w:rsid w:val="00E53767"/>
    <w:rsid w:val="00E552CD"/>
    <w:rsid w:val="00E6095A"/>
    <w:rsid w:val="00E627BD"/>
    <w:rsid w:val="00E62ABB"/>
    <w:rsid w:val="00E6468C"/>
    <w:rsid w:val="00E66FB7"/>
    <w:rsid w:val="00E676EA"/>
    <w:rsid w:val="00E75B3D"/>
    <w:rsid w:val="00E7655E"/>
    <w:rsid w:val="00E77EB5"/>
    <w:rsid w:val="00E83FEB"/>
    <w:rsid w:val="00E902A1"/>
    <w:rsid w:val="00E902D3"/>
    <w:rsid w:val="00E906D7"/>
    <w:rsid w:val="00E942EF"/>
    <w:rsid w:val="00E95D24"/>
    <w:rsid w:val="00EA2477"/>
    <w:rsid w:val="00EA2856"/>
    <w:rsid w:val="00EB3BCA"/>
    <w:rsid w:val="00EC762B"/>
    <w:rsid w:val="00ED0BA7"/>
    <w:rsid w:val="00ED7F49"/>
    <w:rsid w:val="00EE445F"/>
    <w:rsid w:val="00EE585B"/>
    <w:rsid w:val="00EE7045"/>
    <w:rsid w:val="00EE714B"/>
    <w:rsid w:val="00EE7F6D"/>
    <w:rsid w:val="00EF1D4F"/>
    <w:rsid w:val="00EF22C8"/>
    <w:rsid w:val="00EF3834"/>
    <w:rsid w:val="00EF606F"/>
    <w:rsid w:val="00F0016A"/>
    <w:rsid w:val="00F00BBC"/>
    <w:rsid w:val="00F013DA"/>
    <w:rsid w:val="00F109FD"/>
    <w:rsid w:val="00F1294F"/>
    <w:rsid w:val="00F158D7"/>
    <w:rsid w:val="00F15C5D"/>
    <w:rsid w:val="00F16928"/>
    <w:rsid w:val="00F21DC7"/>
    <w:rsid w:val="00F23B50"/>
    <w:rsid w:val="00F271B1"/>
    <w:rsid w:val="00F274C4"/>
    <w:rsid w:val="00F27A07"/>
    <w:rsid w:val="00F30F8C"/>
    <w:rsid w:val="00F412D0"/>
    <w:rsid w:val="00F4464C"/>
    <w:rsid w:val="00F45001"/>
    <w:rsid w:val="00F45370"/>
    <w:rsid w:val="00F47EED"/>
    <w:rsid w:val="00F5475C"/>
    <w:rsid w:val="00F55D20"/>
    <w:rsid w:val="00F64628"/>
    <w:rsid w:val="00F67D85"/>
    <w:rsid w:val="00F71433"/>
    <w:rsid w:val="00F75487"/>
    <w:rsid w:val="00F77651"/>
    <w:rsid w:val="00F866CD"/>
    <w:rsid w:val="00F87E8C"/>
    <w:rsid w:val="00F91DD0"/>
    <w:rsid w:val="00F9342C"/>
    <w:rsid w:val="00F94F27"/>
    <w:rsid w:val="00FA0F19"/>
    <w:rsid w:val="00FA2C0F"/>
    <w:rsid w:val="00FA3DDC"/>
    <w:rsid w:val="00FA68F1"/>
    <w:rsid w:val="00FB17FF"/>
    <w:rsid w:val="00FB3D50"/>
    <w:rsid w:val="00FB3DF6"/>
    <w:rsid w:val="00FB5C96"/>
    <w:rsid w:val="00FC39A1"/>
    <w:rsid w:val="00FC43EA"/>
    <w:rsid w:val="00FC5A9B"/>
    <w:rsid w:val="00FD28CD"/>
    <w:rsid w:val="00FD7FBC"/>
    <w:rsid w:val="00FE1817"/>
    <w:rsid w:val="00FE1E71"/>
    <w:rsid w:val="00FE1F8C"/>
    <w:rsid w:val="00FE5318"/>
    <w:rsid w:val="00FE6F66"/>
    <w:rsid w:val="00FF1C90"/>
    <w:rsid w:val="00FF2B3E"/>
    <w:rsid w:val="00FF3D19"/>
    <w:rsid w:val="00FF5A08"/>
    <w:rsid w:val="00FF7906"/>
    <w:rsid w:val="0D914659"/>
    <w:rsid w:val="13975009"/>
    <w:rsid w:val="160A7EBC"/>
    <w:rsid w:val="17CF69D6"/>
    <w:rsid w:val="19446A6B"/>
    <w:rsid w:val="1B703D7C"/>
    <w:rsid w:val="1E930CEE"/>
    <w:rsid w:val="23411534"/>
    <w:rsid w:val="3A594F4C"/>
    <w:rsid w:val="46017AC6"/>
    <w:rsid w:val="4BB328F5"/>
    <w:rsid w:val="54A71C0B"/>
    <w:rsid w:val="65D20670"/>
    <w:rsid w:val="69111585"/>
    <w:rsid w:val="749D5B16"/>
    <w:rsid w:val="7BA701FD"/>
    <w:rsid w:val="7C6A1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link w:val="49"/>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50"/>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1"/>
    <w:unhideWhenUsed/>
    <w:qFormat/>
    <w:uiPriority w:val="9"/>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61"/>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67"/>
    <w:unhideWhenUsed/>
    <w:qFormat/>
    <w:uiPriority w:val="9"/>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8"/>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69"/>
    <w:unhideWhenUsed/>
    <w:qFormat/>
    <w:uiPriority w:val="9"/>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70"/>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71"/>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79"/>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12">
    <w:name w:val="toc 7"/>
    <w:basedOn w:val="1"/>
    <w:next w:val="1"/>
    <w:unhideWhenUsed/>
    <w:qFormat/>
    <w:uiPriority w:val="39"/>
    <w:pPr>
      <w:ind w:left="1260"/>
      <w:jc w:val="left"/>
    </w:pPr>
    <w:rPr>
      <w:rFonts w:asciiTheme="minorHAnsi" w:hAnsiTheme="minorHAnsi"/>
      <w:sz w:val="18"/>
      <w:szCs w:val="18"/>
    </w:rPr>
  </w:style>
  <w:style w:type="paragraph" w:styleId="13">
    <w:name w:val="List Number 2"/>
    <w:basedOn w:val="1"/>
    <w:qFormat/>
    <w:uiPriority w:val="0"/>
    <w:pPr>
      <w:tabs>
        <w:tab w:val="left" w:pos="1697"/>
      </w:tabs>
      <w:spacing w:after="156" w:afterLines="50"/>
      <w:ind w:left="1697" w:hanging="420"/>
      <w:jc w:val="left"/>
    </w:pPr>
    <w:rPr>
      <w:kern w:val="0"/>
      <w:sz w:val="24"/>
    </w:rPr>
  </w:style>
  <w:style w:type="paragraph" w:styleId="14">
    <w:name w:val="Normal Indent"/>
    <w:basedOn w:val="1"/>
    <w:semiHidden/>
    <w:unhideWhenUsed/>
    <w:qFormat/>
    <w:uiPriority w:val="99"/>
    <w:pPr>
      <w:ind w:firstLine="420" w:firstLineChars="200"/>
    </w:pPr>
  </w:style>
  <w:style w:type="paragraph" w:styleId="15">
    <w:name w:val="annotation text"/>
    <w:basedOn w:val="1"/>
    <w:link w:val="58"/>
    <w:unhideWhenUsed/>
    <w:qFormat/>
    <w:uiPriority w:val="99"/>
    <w:pPr>
      <w:jc w:val="left"/>
    </w:pPr>
  </w:style>
  <w:style w:type="paragraph" w:styleId="16">
    <w:name w:val="Body Text"/>
    <w:basedOn w:val="1"/>
    <w:link w:val="63"/>
    <w:unhideWhenUsed/>
    <w:qFormat/>
    <w:uiPriority w:val="0"/>
    <w:pPr>
      <w:spacing w:after="120"/>
    </w:pPr>
  </w:style>
  <w:style w:type="paragraph" w:styleId="17">
    <w:name w:val="Body Text Indent"/>
    <w:basedOn w:val="1"/>
    <w:link w:val="45"/>
    <w:qFormat/>
    <w:uiPriority w:val="0"/>
    <w:pPr>
      <w:widowControl w:val="0"/>
      <w:adjustRightInd w:val="0"/>
      <w:spacing w:line="360" w:lineRule="auto"/>
      <w:ind w:firstLine="490"/>
      <w:jc w:val="left"/>
    </w:pPr>
    <w:rPr>
      <w:rFonts w:ascii="Century Gothic" w:hAnsi="Century Gothic" w:cs="Arial"/>
      <w:sz w:val="24"/>
      <w:szCs w:val="22"/>
    </w:rPr>
  </w:style>
  <w:style w:type="paragraph" w:styleId="18">
    <w:name w:val="toc 5"/>
    <w:basedOn w:val="1"/>
    <w:next w:val="1"/>
    <w:unhideWhenUsed/>
    <w:qFormat/>
    <w:uiPriority w:val="39"/>
    <w:pPr>
      <w:ind w:left="840"/>
      <w:jc w:val="left"/>
    </w:pPr>
    <w:rPr>
      <w:rFonts w:asciiTheme="minorHAnsi" w:hAnsiTheme="minorHAnsi"/>
      <w:sz w:val="18"/>
      <w:szCs w:val="18"/>
    </w:rPr>
  </w:style>
  <w:style w:type="paragraph" w:styleId="19">
    <w:name w:val="toc 3"/>
    <w:basedOn w:val="1"/>
    <w:next w:val="1"/>
    <w:unhideWhenUsed/>
    <w:qFormat/>
    <w:uiPriority w:val="39"/>
    <w:pPr>
      <w:ind w:left="420"/>
      <w:jc w:val="left"/>
    </w:pPr>
    <w:rPr>
      <w:rFonts w:asciiTheme="minorHAnsi" w:hAnsiTheme="minorHAnsi"/>
      <w:i/>
      <w:iCs/>
      <w:sz w:val="20"/>
    </w:rPr>
  </w:style>
  <w:style w:type="paragraph" w:styleId="20">
    <w:name w:val="toc 8"/>
    <w:basedOn w:val="1"/>
    <w:next w:val="1"/>
    <w:unhideWhenUsed/>
    <w:qFormat/>
    <w:uiPriority w:val="39"/>
    <w:pPr>
      <w:ind w:left="1470"/>
      <w:jc w:val="left"/>
    </w:pPr>
    <w:rPr>
      <w:rFonts w:asciiTheme="minorHAnsi" w:hAnsiTheme="minorHAnsi"/>
      <w:sz w:val="18"/>
      <w:szCs w:val="18"/>
    </w:rPr>
  </w:style>
  <w:style w:type="paragraph" w:styleId="21">
    <w:name w:val="Body Text Indent 2"/>
    <w:basedOn w:val="1"/>
    <w:link w:val="80"/>
    <w:semiHidden/>
    <w:unhideWhenUsed/>
    <w:qFormat/>
    <w:uiPriority w:val="99"/>
    <w:pPr>
      <w:spacing w:after="120" w:line="480" w:lineRule="auto"/>
      <w:ind w:left="420" w:leftChars="200"/>
    </w:pPr>
  </w:style>
  <w:style w:type="paragraph" w:styleId="22">
    <w:name w:val="Balloon Text"/>
    <w:basedOn w:val="1"/>
    <w:link w:val="52"/>
    <w:unhideWhenUsed/>
    <w:qFormat/>
    <w:uiPriority w:val="99"/>
    <w:rPr>
      <w:rFonts w:ascii="宋体"/>
      <w:sz w:val="18"/>
      <w:szCs w:val="18"/>
    </w:rPr>
  </w:style>
  <w:style w:type="paragraph" w:styleId="23">
    <w:name w:val="footer"/>
    <w:basedOn w:val="1"/>
    <w:link w:val="44"/>
    <w:unhideWhenUsed/>
    <w:qFormat/>
    <w:uiPriority w:val="99"/>
    <w:pPr>
      <w:tabs>
        <w:tab w:val="center" w:pos="4153"/>
        <w:tab w:val="right" w:pos="8306"/>
      </w:tabs>
      <w:snapToGrid w:val="0"/>
      <w:jc w:val="left"/>
    </w:pPr>
    <w:rPr>
      <w:sz w:val="18"/>
      <w:szCs w:val="18"/>
    </w:rPr>
  </w:style>
  <w:style w:type="paragraph" w:styleId="24">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pPr>
      <w:spacing w:before="120" w:after="120"/>
      <w:jc w:val="left"/>
    </w:pPr>
    <w:rPr>
      <w:rFonts w:asciiTheme="minorHAnsi" w:hAnsiTheme="minorHAnsi"/>
      <w:b/>
      <w:bCs/>
      <w:caps/>
      <w:sz w:val="20"/>
    </w:rPr>
  </w:style>
  <w:style w:type="paragraph" w:styleId="26">
    <w:name w:val="toc 4"/>
    <w:basedOn w:val="1"/>
    <w:next w:val="1"/>
    <w:unhideWhenUsed/>
    <w:qFormat/>
    <w:uiPriority w:val="39"/>
    <w:pPr>
      <w:ind w:left="630"/>
      <w:jc w:val="left"/>
    </w:pPr>
    <w:rPr>
      <w:rFonts w:asciiTheme="minorHAnsi" w:hAnsiTheme="minorHAnsi"/>
      <w:sz w:val="18"/>
      <w:szCs w:val="18"/>
    </w:rPr>
  </w:style>
  <w:style w:type="paragraph" w:styleId="27">
    <w:name w:val="toc 6"/>
    <w:basedOn w:val="1"/>
    <w:next w:val="1"/>
    <w:unhideWhenUsed/>
    <w:qFormat/>
    <w:uiPriority w:val="39"/>
    <w:pPr>
      <w:ind w:left="1050"/>
      <w:jc w:val="left"/>
    </w:pPr>
    <w:rPr>
      <w:rFonts w:asciiTheme="minorHAnsi" w:hAnsiTheme="minorHAnsi"/>
      <w:sz w:val="18"/>
      <w:szCs w:val="18"/>
    </w:rPr>
  </w:style>
  <w:style w:type="paragraph" w:styleId="28">
    <w:name w:val="Body Text Indent 3"/>
    <w:basedOn w:val="1"/>
    <w:link w:val="81"/>
    <w:semiHidden/>
    <w:unhideWhenUsed/>
    <w:qFormat/>
    <w:uiPriority w:val="99"/>
    <w:pPr>
      <w:spacing w:after="120"/>
      <w:ind w:left="420" w:leftChars="200"/>
    </w:pPr>
    <w:rPr>
      <w:sz w:val="16"/>
      <w:szCs w:val="16"/>
    </w:rPr>
  </w:style>
  <w:style w:type="paragraph" w:styleId="29">
    <w:name w:val="toc 2"/>
    <w:basedOn w:val="1"/>
    <w:next w:val="1"/>
    <w:unhideWhenUsed/>
    <w:qFormat/>
    <w:uiPriority w:val="39"/>
    <w:pPr>
      <w:ind w:left="210"/>
      <w:jc w:val="left"/>
    </w:pPr>
    <w:rPr>
      <w:rFonts w:asciiTheme="minorHAnsi" w:hAnsiTheme="minorHAnsi"/>
      <w:smallCaps/>
      <w:sz w:val="20"/>
    </w:rPr>
  </w:style>
  <w:style w:type="paragraph" w:styleId="30">
    <w:name w:val="toc 9"/>
    <w:basedOn w:val="1"/>
    <w:next w:val="1"/>
    <w:unhideWhenUsed/>
    <w:qFormat/>
    <w:uiPriority w:val="39"/>
    <w:pPr>
      <w:ind w:left="1680"/>
      <w:jc w:val="left"/>
    </w:pPr>
    <w:rPr>
      <w:rFonts w:asciiTheme="minorHAnsi" w:hAnsiTheme="minorHAnsi"/>
      <w:sz w:val="18"/>
      <w:szCs w:val="18"/>
    </w:rPr>
  </w:style>
  <w:style w:type="paragraph" w:styleId="31">
    <w:name w:val="Normal (Web)"/>
    <w:basedOn w:val="1"/>
    <w:unhideWhenUsed/>
    <w:qFormat/>
    <w:uiPriority w:val="0"/>
    <w:pPr>
      <w:spacing w:before="100" w:beforeAutospacing="1" w:after="100" w:afterAutospacing="1"/>
      <w:jc w:val="left"/>
    </w:pPr>
    <w:rPr>
      <w:rFonts w:eastAsiaTheme="minorEastAsia"/>
      <w:kern w:val="0"/>
      <w:sz w:val="24"/>
      <w:szCs w:val="24"/>
    </w:rPr>
  </w:style>
  <w:style w:type="paragraph" w:styleId="32">
    <w:name w:val="annotation subject"/>
    <w:basedOn w:val="15"/>
    <w:next w:val="15"/>
    <w:link w:val="59"/>
    <w:unhideWhenUsed/>
    <w:qFormat/>
    <w:uiPriority w:val="99"/>
    <w:rPr>
      <w:b/>
      <w:bCs/>
    </w:rPr>
  </w:style>
  <w:style w:type="paragraph" w:styleId="33">
    <w:name w:val="Body Text First Indent"/>
    <w:basedOn w:val="16"/>
    <w:link w:val="66"/>
    <w:unhideWhenUsed/>
    <w:qFormat/>
    <w:uiPriority w:val="99"/>
    <w:pPr>
      <w:widowControl w:val="0"/>
      <w:ind w:firstLine="420" w:firstLineChars="100"/>
    </w:pPr>
    <w:rPr>
      <w:rFonts w:ascii="Calibri" w:hAnsi="Calibri"/>
      <w:szCs w:val="22"/>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page number"/>
    <w:basedOn w:val="36"/>
    <w:unhideWhenUsed/>
    <w:qFormat/>
    <w:uiPriority w:val="99"/>
  </w:style>
  <w:style w:type="character" w:styleId="39">
    <w:name w:val="Emphasis"/>
    <w:basedOn w:val="36"/>
    <w:qFormat/>
    <w:uiPriority w:val="20"/>
    <w:rPr>
      <w:i/>
      <w:iCs/>
    </w:rPr>
  </w:style>
  <w:style w:type="character" w:styleId="40">
    <w:name w:val="Hyperlink"/>
    <w:basedOn w:val="36"/>
    <w:unhideWhenUsed/>
    <w:qFormat/>
    <w:uiPriority w:val="99"/>
    <w:rPr>
      <w:color w:val="0000FF" w:themeColor="hyperlink"/>
      <w:u w:val="single"/>
      <w14:textFill>
        <w14:solidFill>
          <w14:schemeClr w14:val="hlink"/>
        </w14:solidFill>
      </w14:textFill>
    </w:rPr>
  </w:style>
  <w:style w:type="character" w:styleId="41">
    <w:name w:val="annotation reference"/>
    <w:basedOn w:val="36"/>
    <w:unhideWhenUsed/>
    <w:qFormat/>
    <w:uiPriority w:val="99"/>
    <w:rPr>
      <w:sz w:val="21"/>
      <w:szCs w:val="21"/>
    </w:rPr>
  </w:style>
  <w:style w:type="paragraph" w:customStyle="1" w:styleId="42">
    <w:name w:val="列出段落1"/>
    <w:basedOn w:val="1"/>
    <w:link w:val="60"/>
    <w:qFormat/>
    <w:uiPriority w:val="34"/>
    <w:pPr>
      <w:widowControl w:val="0"/>
      <w:ind w:firstLine="420" w:firstLineChars="200"/>
    </w:pPr>
    <w:rPr>
      <w:rFonts w:asciiTheme="minorHAnsi" w:hAnsiTheme="minorHAnsi" w:eastAsiaTheme="minorEastAsia" w:cstheme="minorBidi"/>
      <w:szCs w:val="22"/>
    </w:rPr>
  </w:style>
  <w:style w:type="paragraph" w:customStyle="1" w:styleId="43">
    <w:name w:val="样式 宋体 小四 行距: 1.5 倍行距 首行缩进:  2 字符"/>
    <w:basedOn w:val="1"/>
    <w:qFormat/>
    <w:uiPriority w:val="0"/>
    <w:pPr>
      <w:widowControl w:val="0"/>
      <w:spacing w:line="360" w:lineRule="auto"/>
      <w:ind w:firstLine="200" w:firstLineChars="200"/>
    </w:pPr>
    <w:rPr>
      <w:rFonts w:ascii="宋体" w:hAnsi="宋体" w:cs="宋体"/>
      <w:sz w:val="24"/>
      <w:szCs w:val="24"/>
    </w:rPr>
  </w:style>
  <w:style w:type="character" w:customStyle="1" w:styleId="44">
    <w:name w:val="页脚 字符"/>
    <w:basedOn w:val="36"/>
    <w:link w:val="23"/>
    <w:qFormat/>
    <w:uiPriority w:val="99"/>
    <w:rPr>
      <w:rFonts w:ascii="Times New Roman" w:hAnsi="Times New Roman" w:eastAsia="宋体" w:cs="Times New Roman"/>
      <w:kern w:val="2"/>
      <w:sz w:val="18"/>
      <w:szCs w:val="18"/>
    </w:rPr>
  </w:style>
  <w:style w:type="character" w:customStyle="1" w:styleId="45">
    <w:name w:val="正文文本缩进 字符1"/>
    <w:link w:val="17"/>
    <w:qFormat/>
    <w:uiPriority w:val="0"/>
    <w:rPr>
      <w:rFonts w:ascii="Century Gothic" w:hAnsi="Century Gothic" w:eastAsia="宋体" w:cs="Arial"/>
      <w:kern w:val="2"/>
      <w:sz w:val="24"/>
    </w:rPr>
  </w:style>
  <w:style w:type="character" w:customStyle="1" w:styleId="46">
    <w:name w:val="正文文本缩进 字符"/>
    <w:basedOn w:val="36"/>
    <w:qFormat/>
    <w:uiPriority w:val="99"/>
    <w:rPr>
      <w:rFonts w:ascii="Times New Roman" w:hAnsi="Times New Roman" w:eastAsia="宋体" w:cs="Times New Roman"/>
      <w:kern w:val="2"/>
      <w:sz w:val="21"/>
      <w:szCs w:val="20"/>
    </w:rPr>
  </w:style>
  <w:style w:type="character" w:customStyle="1" w:styleId="47">
    <w:name w:val="中等深浅网格 2 字符"/>
    <w:link w:val="48"/>
    <w:qFormat/>
    <w:uiPriority w:val="1"/>
    <w:rPr>
      <w:rFonts w:ascii="Calibri" w:hAnsi="Calibri"/>
      <w:kern w:val="2"/>
      <w:sz w:val="21"/>
    </w:rPr>
  </w:style>
  <w:style w:type="paragraph" w:customStyle="1" w:styleId="48">
    <w:name w:val="中等深浅网格 22"/>
    <w:link w:val="47"/>
    <w:qFormat/>
    <w:uiPriority w:val="1"/>
    <w:pPr>
      <w:widowControl w:val="0"/>
      <w:jc w:val="both"/>
    </w:pPr>
    <w:rPr>
      <w:rFonts w:ascii="Calibri" w:hAnsi="Calibri" w:eastAsia="微软雅黑" w:cstheme="minorBidi"/>
      <w:kern w:val="2"/>
      <w:sz w:val="21"/>
      <w:szCs w:val="22"/>
      <w:lang w:val="en-US" w:eastAsia="zh-CN" w:bidi="ar-SA"/>
    </w:rPr>
  </w:style>
  <w:style w:type="character" w:customStyle="1" w:styleId="49">
    <w:name w:val="标题 1 字符"/>
    <w:basedOn w:val="36"/>
    <w:link w:val="3"/>
    <w:qFormat/>
    <w:uiPriority w:val="9"/>
    <w:rPr>
      <w:rFonts w:ascii="Times New Roman" w:hAnsi="Times New Roman" w:eastAsia="宋体" w:cs="Times New Roman"/>
      <w:b/>
      <w:bCs/>
      <w:kern w:val="44"/>
      <w:sz w:val="44"/>
      <w:szCs w:val="44"/>
    </w:rPr>
  </w:style>
  <w:style w:type="character" w:customStyle="1" w:styleId="50">
    <w:name w:val="标题 2 字符"/>
    <w:basedOn w:val="36"/>
    <w:link w:val="4"/>
    <w:qFormat/>
    <w:uiPriority w:val="9"/>
    <w:rPr>
      <w:rFonts w:asciiTheme="majorHAnsi" w:hAnsiTheme="majorHAnsi" w:eastAsiaTheme="majorEastAsia" w:cstheme="majorBidi"/>
      <w:b/>
      <w:bCs/>
      <w:kern w:val="2"/>
      <w:sz w:val="32"/>
      <w:szCs w:val="32"/>
    </w:rPr>
  </w:style>
  <w:style w:type="character" w:customStyle="1" w:styleId="51">
    <w:name w:val="标题 3 字符"/>
    <w:basedOn w:val="36"/>
    <w:link w:val="5"/>
    <w:qFormat/>
    <w:uiPriority w:val="9"/>
    <w:rPr>
      <w:rFonts w:ascii="Times New Roman" w:hAnsi="Times New Roman" w:eastAsia="宋体" w:cs="Times New Roman"/>
      <w:b/>
      <w:bCs/>
      <w:kern w:val="2"/>
      <w:sz w:val="32"/>
      <w:szCs w:val="32"/>
    </w:rPr>
  </w:style>
  <w:style w:type="character" w:customStyle="1" w:styleId="52">
    <w:name w:val="批注框文本 字符"/>
    <w:basedOn w:val="36"/>
    <w:link w:val="22"/>
    <w:semiHidden/>
    <w:qFormat/>
    <w:uiPriority w:val="99"/>
    <w:rPr>
      <w:rFonts w:ascii="宋体" w:hAnsi="Times New Roman" w:eastAsia="宋体" w:cs="Times New Roman"/>
      <w:kern w:val="2"/>
      <w:sz w:val="18"/>
      <w:szCs w:val="18"/>
    </w:rPr>
  </w:style>
  <w:style w:type="paragraph" w:customStyle="1" w:styleId="53">
    <w:name w:val="标书正文格式"/>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paragraph" w:customStyle="1" w:styleId="54">
    <w:name w:val="Table Paragraph"/>
    <w:basedOn w:val="1"/>
    <w:qFormat/>
    <w:uiPriority w:val="0"/>
    <w:pPr>
      <w:spacing w:beforeLines="25" w:afterLines="25" w:line="300" w:lineRule="auto"/>
      <w:ind w:firstLine="200" w:firstLineChars="200"/>
      <w:jc w:val="left"/>
    </w:pPr>
    <w:rPr>
      <w:rFonts w:ascii="Calibri" w:hAnsi="Calibri" w:cs="黑体"/>
      <w:kern w:val="0"/>
      <w:sz w:val="22"/>
      <w:szCs w:val="22"/>
      <w:lang w:eastAsia="en-US"/>
    </w:rPr>
  </w:style>
  <w:style w:type="paragraph" w:customStyle="1" w:styleId="55">
    <w:name w:val="p0"/>
    <w:basedOn w:val="1"/>
    <w:qFormat/>
    <w:uiPriority w:val="0"/>
    <w:pPr>
      <w:spacing w:before="100" w:beforeAutospacing="1" w:after="100" w:afterAutospacing="1"/>
      <w:jc w:val="left"/>
    </w:pPr>
    <w:rPr>
      <w:rFonts w:ascii="宋体" w:hAnsi="宋体" w:cs="宋体"/>
      <w:kern w:val="0"/>
      <w:sz w:val="24"/>
    </w:rPr>
  </w:style>
  <w:style w:type="character" w:customStyle="1" w:styleId="56">
    <w:name w:val="font11"/>
    <w:basedOn w:val="36"/>
    <w:qFormat/>
    <w:uiPriority w:val="0"/>
    <w:rPr>
      <w:sz w:val="18"/>
      <w:szCs w:val="18"/>
    </w:rPr>
  </w:style>
  <w:style w:type="paragraph" w:customStyle="1" w:styleId="57">
    <w:name w:val="修订1"/>
    <w:hidden/>
    <w:semiHidden/>
    <w:qFormat/>
    <w:uiPriority w:val="99"/>
    <w:rPr>
      <w:rFonts w:ascii="Times New Roman" w:hAnsi="Times New Roman" w:eastAsia="宋体" w:cs="Times New Roman"/>
      <w:kern w:val="2"/>
      <w:sz w:val="21"/>
      <w:lang w:val="en-US" w:eastAsia="zh-CN" w:bidi="ar-SA"/>
    </w:rPr>
  </w:style>
  <w:style w:type="character" w:customStyle="1" w:styleId="58">
    <w:name w:val="批注文字 字符"/>
    <w:basedOn w:val="36"/>
    <w:link w:val="15"/>
    <w:semiHidden/>
    <w:qFormat/>
    <w:uiPriority w:val="99"/>
    <w:rPr>
      <w:rFonts w:ascii="Times New Roman" w:hAnsi="Times New Roman" w:eastAsia="宋体"/>
      <w:kern w:val="2"/>
      <w:sz w:val="21"/>
    </w:rPr>
  </w:style>
  <w:style w:type="character" w:customStyle="1" w:styleId="59">
    <w:name w:val="批注主题 字符"/>
    <w:basedOn w:val="58"/>
    <w:link w:val="32"/>
    <w:semiHidden/>
    <w:qFormat/>
    <w:uiPriority w:val="99"/>
    <w:rPr>
      <w:rFonts w:ascii="Times New Roman" w:hAnsi="Times New Roman" w:eastAsia="宋体"/>
      <w:b/>
      <w:bCs/>
      <w:kern w:val="2"/>
      <w:sz w:val="21"/>
    </w:rPr>
  </w:style>
  <w:style w:type="character" w:customStyle="1" w:styleId="60">
    <w:name w:val="列表段落 字符"/>
    <w:link w:val="42"/>
    <w:qFormat/>
    <w:locked/>
    <w:uiPriority w:val="34"/>
    <w:rPr>
      <w:rFonts w:asciiTheme="minorHAnsi" w:hAnsiTheme="minorHAnsi" w:eastAsiaTheme="minorEastAsia" w:cstheme="minorBidi"/>
      <w:kern w:val="2"/>
      <w:sz w:val="21"/>
      <w:szCs w:val="22"/>
    </w:rPr>
  </w:style>
  <w:style w:type="character" w:customStyle="1" w:styleId="61">
    <w:name w:val="标题 4 字符"/>
    <w:basedOn w:val="36"/>
    <w:link w:val="6"/>
    <w:qFormat/>
    <w:uiPriority w:val="9"/>
    <w:rPr>
      <w:rFonts w:asciiTheme="majorHAnsi" w:hAnsiTheme="majorHAnsi" w:eastAsiaTheme="majorEastAsia" w:cstheme="majorBidi"/>
      <w:b/>
      <w:bCs/>
      <w:kern w:val="2"/>
      <w:sz w:val="28"/>
      <w:szCs w:val="28"/>
    </w:rPr>
  </w:style>
  <w:style w:type="character" w:customStyle="1" w:styleId="62">
    <w:name w:val="页眉 字符"/>
    <w:basedOn w:val="36"/>
    <w:link w:val="24"/>
    <w:qFormat/>
    <w:uiPriority w:val="99"/>
    <w:rPr>
      <w:rFonts w:ascii="Times New Roman" w:hAnsi="Times New Roman" w:eastAsia="宋体"/>
      <w:kern w:val="2"/>
      <w:sz w:val="18"/>
      <w:szCs w:val="18"/>
    </w:rPr>
  </w:style>
  <w:style w:type="character" w:customStyle="1" w:styleId="63">
    <w:name w:val="正文文本 字符"/>
    <w:basedOn w:val="36"/>
    <w:link w:val="16"/>
    <w:qFormat/>
    <w:uiPriority w:val="0"/>
    <w:rPr>
      <w:rFonts w:ascii="Times New Roman" w:hAnsi="Times New Roman" w:eastAsia="宋体" w:cs="Times New Roman"/>
      <w:kern w:val="2"/>
      <w:sz w:val="21"/>
    </w:rPr>
  </w:style>
  <w:style w:type="paragraph" w:customStyle="1" w:styleId="64">
    <w:name w:val="列表段落2"/>
    <w:basedOn w:val="1"/>
    <w:qFormat/>
    <w:uiPriority w:val="34"/>
    <w:pPr>
      <w:adjustRightInd w:val="0"/>
      <w:snapToGrid w:val="0"/>
      <w:spacing w:after="200"/>
      <w:ind w:firstLine="420" w:firstLineChars="200"/>
      <w:jc w:val="left"/>
    </w:pPr>
    <w:rPr>
      <w:rFonts w:ascii="Tahoma" w:hAnsi="Tahoma" w:eastAsia="微软雅黑" w:cstheme="minorBidi"/>
      <w:kern w:val="0"/>
      <w:sz w:val="22"/>
      <w:szCs w:val="22"/>
    </w:rPr>
  </w:style>
  <w:style w:type="paragraph" w:customStyle="1" w:styleId="65">
    <w:name w:val="修订2"/>
    <w:hidden/>
    <w:semiHidden/>
    <w:qFormat/>
    <w:uiPriority w:val="99"/>
    <w:rPr>
      <w:rFonts w:ascii="Times New Roman" w:hAnsi="Times New Roman" w:eastAsia="宋体" w:cs="Times New Roman"/>
      <w:kern w:val="2"/>
      <w:sz w:val="21"/>
      <w:lang w:val="en-US" w:eastAsia="zh-CN" w:bidi="ar-SA"/>
    </w:rPr>
  </w:style>
  <w:style w:type="character" w:customStyle="1" w:styleId="66">
    <w:name w:val="正文文本首行缩进 字符"/>
    <w:basedOn w:val="63"/>
    <w:link w:val="33"/>
    <w:semiHidden/>
    <w:qFormat/>
    <w:uiPriority w:val="99"/>
    <w:rPr>
      <w:rFonts w:ascii="Calibri" w:hAnsi="Calibri" w:eastAsia="宋体" w:cs="Times New Roman"/>
      <w:kern w:val="2"/>
      <w:sz w:val="21"/>
      <w:szCs w:val="22"/>
    </w:rPr>
  </w:style>
  <w:style w:type="character" w:customStyle="1" w:styleId="67">
    <w:name w:val="标题 5 字符"/>
    <w:basedOn w:val="36"/>
    <w:link w:val="7"/>
    <w:semiHidden/>
    <w:qFormat/>
    <w:uiPriority w:val="9"/>
    <w:rPr>
      <w:b/>
      <w:bCs/>
      <w:kern w:val="2"/>
      <w:sz w:val="28"/>
      <w:szCs w:val="28"/>
    </w:rPr>
  </w:style>
  <w:style w:type="character" w:customStyle="1" w:styleId="68">
    <w:name w:val="标题 6 字符"/>
    <w:basedOn w:val="36"/>
    <w:link w:val="8"/>
    <w:semiHidden/>
    <w:qFormat/>
    <w:uiPriority w:val="9"/>
    <w:rPr>
      <w:rFonts w:asciiTheme="majorHAnsi" w:hAnsiTheme="majorHAnsi" w:eastAsiaTheme="majorEastAsia" w:cstheme="majorBidi"/>
      <w:b/>
      <w:bCs/>
      <w:kern w:val="2"/>
      <w:sz w:val="24"/>
      <w:szCs w:val="24"/>
    </w:rPr>
  </w:style>
  <w:style w:type="character" w:customStyle="1" w:styleId="69">
    <w:name w:val="标题 7 字符"/>
    <w:basedOn w:val="36"/>
    <w:link w:val="9"/>
    <w:semiHidden/>
    <w:qFormat/>
    <w:uiPriority w:val="9"/>
    <w:rPr>
      <w:b/>
      <w:bCs/>
      <w:kern w:val="2"/>
      <w:sz w:val="24"/>
      <w:szCs w:val="24"/>
    </w:rPr>
  </w:style>
  <w:style w:type="character" w:customStyle="1" w:styleId="70">
    <w:name w:val="标题 8 字符"/>
    <w:basedOn w:val="36"/>
    <w:link w:val="10"/>
    <w:semiHidden/>
    <w:qFormat/>
    <w:uiPriority w:val="9"/>
    <w:rPr>
      <w:rFonts w:asciiTheme="majorHAnsi" w:hAnsiTheme="majorHAnsi" w:eastAsiaTheme="majorEastAsia" w:cstheme="majorBidi"/>
      <w:kern w:val="2"/>
      <w:sz w:val="24"/>
      <w:szCs w:val="24"/>
    </w:rPr>
  </w:style>
  <w:style w:type="character" w:customStyle="1" w:styleId="71">
    <w:name w:val="标题 9 字符"/>
    <w:basedOn w:val="36"/>
    <w:link w:val="11"/>
    <w:semiHidden/>
    <w:qFormat/>
    <w:uiPriority w:val="9"/>
    <w:rPr>
      <w:rFonts w:asciiTheme="majorHAnsi" w:hAnsiTheme="majorHAnsi" w:eastAsiaTheme="majorEastAsia" w:cstheme="majorBidi"/>
      <w:kern w:val="2"/>
      <w:sz w:val="21"/>
      <w:szCs w:val="21"/>
    </w:rPr>
  </w:style>
  <w:style w:type="paragraph" w:styleId="72">
    <w:name w:val="List Paragraph"/>
    <w:basedOn w:val="1"/>
    <w:link w:val="73"/>
    <w:qFormat/>
    <w:uiPriority w:val="34"/>
    <w:pPr>
      <w:widowControl w:val="0"/>
      <w:ind w:firstLine="420" w:firstLineChars="200"/>
    </w:pPr>
    <w:rPr>
      <w:rFonts w:asciiTheme="minorHAnsi" w:hAnsiTheme="minorHAnsi" w:eastAsiaTheme="minorEastAsia" w:cstheme="minorBidi"/>
      <w:szCs w:val="22"/>
    </w:rPr>
  </w:style>
  <w:style w:type="character" w:customStyle="1" w:styleId="73">
    <w:name w:val="列表段落 字符1"/>
    <w:link w:val="72"/>
    <w:qFormat/>
    <w:locked/>
    <w:uiPriority w:val="34"/>
    <w:rPr>
      <w:rFonts w:asciiTheme="minorHAnsi" w:hAnsiTheme="minorHAnsi" w:eastAsiaTheme="minorEastAsia" w:cstheme="minorBidi"/>
      <w:kern w:val="2"/>
      <w:sz w:val="21"/>
      <w:szCs w:val="22"/>
    </w:rPr>
  </w:style>
  <w:style w:type="paragraph" w:customStyle="1" w:styleId="74">
    <w:name w:val="修订3"/>
    <w:hidden/>
    <w:semiHidden/>
    <w:qFormat/>
    <w:uiPriority w:val="99"/>
    <w:rPr>
      <w:rFonts w:ascii="Times New Roman" w:hAnsi="Times New Roman" w:eastAsia="宋体" w:cs="Times New Roman"/>
      <w:kern w:val="2"/>
      <w:sz w:val="21"/>
      <w:lang w:val="en-US" w:eastAsia="zh-CN" w:bidi="ar-SA"/>
    </w:rPr>
  </w:style>
  <w:style w:type="paragraph" w:customStyle="1" w:styleId="75">
    <w:name w:val="正文－缩进"/>
    <w:basedOn w:val="14"/>
    <w:qFormat/>
    <w:uiPriority w:val="0"/>
    <w:pPr>
      <w:spacing w:beforeLines="50" w:line="360" w:lineRule="auto"/>
      <w:ind w:firstLine="200"/>
    </w:pPr>
    <w:rPr>
      <w:rFonts w:ascii="Calibri" w:hAnsi="Calibri"/>
      <w:sz w:val="24"/>
      <w:szCs w:val="24"/>
    </w:rPr>
  </w:style>
  <w:style w:type="character" w:customStyle="1" w:styleId="76">
    <w:name w:val="font51"/>
    <w:basedOn w:val="36"/>
    <w:qFormat/>
    <w:uiPriority w:val="0"/>
    <w:rPr>
      <w:rFonts w:hint="eastAsia" w:ascii="微软雅黑" w:hAnsi="微软雅黑" w:eastAsia="微软雅黑"/>
      <w:color w:val="333333"/>
      <w:sz w:val="21"/>
      <w:szCs w:val="21"/>
      <w:u w:val="none"/>
    </w:rPr>
  </w:style>
  <w:style w:type="character" w:customStyle="1" w:styleId="77">
    <w:name w:val="font81"/>
    <w:basedOn w:val="36"/>
    <w:qFormat/>
    <w:uiPriority w:val="0"/>
    <w:rPr>
      <w:rFonts w:hint="eastAsia" w:ascii="微软雅黑" w:hAnsi="微软雅黑" w:eastAsia="微软雅黑"/>
      <w:color w:val="000000"/>
      <w:sz w:val="21"/>
      <w:szCs w:val="21"/>
      <w:u w:val="none"/>
    </w:rPr>
  </w:style>
  <w:style w:type="paragraph" w:customStyle="1" w:styleId="78">
    <w:name w:val="--规划正文"/>
    <w:basedOn w:val="1"/>
    <w:qFormat/>
    <w:uiPriority w:val="99"/>
    <w:pPr>
      <w:widowControl w:val="0"/>
      <w:spacing w:line="360" w:lineRule="auto"/>
      <w:ind w:firstLine="200" w:firstLineChars="200"/>
    </w:pPr>
  </w:style>
  <w:style w:type="character" w:customStyle="1" w:styleId="79">
    <w:name w:val="Default Char"/>
    <w:link w:val="2"/>
    <w:qFormat/>
    <w:locked/>
    <w:uiPriority w:val="0"/>
    <w:rPr>
      <w:rFonts w:ascii="宋体" w:hAnsi="Calibri"/>
      <w:color w:val="000000"/>
      <w:sz w:val="24"/>
      <w:szCs w:val="24"/>
    </w:rPr>
  </w:style>
  <w:style w:type="character" w:customStyle="1" w:styleId="80">
    <w:name w:val="正文文本缩进 2 字符"/>
    <w:basedOn w:val="36"/>
    <w:link w:val="21"/>
    <w:semiHidden/>
    <w:qFormat/>
    <w:uiPriority w:val="99"/>
    <w:rPr>
      <w:kern w:val="2"/>
      <w:sz w:val="21"/>
    </w:rPr>
  </w:style>
  <w:style w:type="character" w:customStyle="1" w:styleId="81">
    <w:name w:val="正文文本缩进 3 字符"/>
    <w:basedOn w:val="36"/>
    <w:link w:val="28"/>
    <w:semiHidden/>
    <w:qFormat/>
    <w:uiPriority w:val="99"/>
    <w:rPr>
      <w:kern w:val="2"/>
      <w:sz w:val="16"/>
      <w:szCs w:val="16"/>
    </w:rPr>
  </w:style>
  <w:style w:type="paragraph" w:customStyle="1" w:styleId="82">
    <w:name w:val="正文（1）"/>
    <w:basedOn w:val="1"/>
    <w:qFormat/>
    <w:uiPriority w:val="0"/>
    <w:pPr>
      <w:widowControl w:val="0"/>
      <w:numPr>
        <w:ilvl w:val="0"/>
        <w:numId w:val="2"/>
      </w:numPr>
      <w:adjustRightInd w:val="0"/>
      <w:snapToGrid w:val="0"/>
    </w:pPr>
    <w:rPr>
      <w:szCs w:val="24"/>
    </w:rPr>
  </w:style>
  <w:style w:type="character" w:customStyle="1" w:styleId="83">
    <w:name w:val="NormalCharacter"/>
    <w:link w:val="84"/>
    <w:qFormat/>
    <w:uiPriority w:val="0"/>
  </w:style>
  <w:style w:type="paragraph" w:customStyle="1" w:styleId="84">
    <w:name w:val="UserStyle_3"/>
    <w:basedOn w:val="1"/>
    <w:link w:val="83"/>
    <w:qFormat/>
    <w:uiPriority w:val="0"/>
    <w:pPr>
      <w:adjustRightInd w:val="0"/>
      <w:spacing w:after="160" w:line="240" w:lineRule="exact"/>
      <w:jc w:val="left"/>
    </w:pPr>
    <w:rPr>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FAE6-22D3-4BC6-B723-C6A78E66653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1830</Words>
  <Characters>1936</Characters>
  <Lines>120</Lines>
  <Paragraphs>33</Paragraphs>
  <TotalTime>142</TotalTime>
  <ScaleCrop>false</ScaleCrop>
  <LinksUpToDate>false</LinksUpToDate>
  <CharactersWithSpaces>1956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2025-12-02T03:06:00Z</dcterms:created>
  <dc:creator>Administrator</dc:creator>
  <cp:lastModifiedBy>administrator</cp:lastModifiedBy>
  <dcterms:modified xsi:type="dcterms:W3CDTF">2025-12-17T07:03:29Z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9E909901DEFE4687989A15BDABAE8109</vt:lpwstr>
  </property>
  <property fmtid="{D5CDD505-2E9C-101B-9397-08002B2CF9AE}" pid="4" name="KSOTemplateDocerSaveRecord">
    <vt:lpwstr>eyJoZGlkIjoiYmFiNWIwNjRiMTdhZjZkZDhjNTAwNDc3YzdlY2NmZjkiLCJ1c2VySWQiOiI1NDIzMTc5MDIifQ==</vt:lpwstr>
  </property>
</Properties>
</file>